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25" w:rsidRPr="00955E57" w:rsidRDefault="00FC38E8" w:rsidP="00544C25">
      <w:pPr>
        <w:rPr>
          <w:rFonts w:cstheme="minorHAnsi"/>
          <w:color w:val="333333"/>
          <w:shd w:val="clear" w:color="auto" w:fill="FFFFFF"/>
        </w:rPr>
      </w:pPr>
      <w:r w:rsidRPr="00955E57">
        <w:rPr>
          <w:rFonts w:cstheme="minorHAnsi"/>
          <w:color w:val="333333"/>
          <w:shd w:val="clear" w:color="auto" w:fill="FFFFFF"/>
        </w:rPr>
        <w:t>Query:</w:t>
      </w:r>
      <w:r w:rsidR="00544C25" w:rsidRPr="00955E57">
        <w:rPr>
          <w:rFonts w:cstheme="minorHAnsi"/>
          <w:color w:val="333333"/>
          <w:shd w:val="clear" w:color="auto" w:fill="FFFFFF"/>
        </w:rPr>
        <w:t xml:space="preserve"> </w:t>
      </w:r>
    </w:p>
    <w:p w:rsidR="00E26E1E" w:rsidRDefault="00E26E1E"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Section 54 &amp; 56</w:t>
      </w:r>
    </w:p>
    <w:p w:rsidR="00A02FF5" w:rsidRPr="00955E57" w:rsidRDefault="00E26E1E" w:rsidP="00544C25">
      <w:pPr>
        <w:rPr>
          <w:rFonts w:cstheme="minorHAnsi"/>
          <w:color w:val="333333"/>
          <w:shd w:val="clear" w:color="auto" w:fill="FFFFFF"/>
        </w:rPr>
      </w:pPr>
      <w:r>
        <w:rPr>
          <w:rFonts w:ascii="Helvetica" w:hAnsi="Helvetica" w:cs="Helvetica"/>
          <w:color w:val="333333"/>
          <w:sz w:val="23"/>
          <w:szCs w:val="23"/>
          <w:shd w:val="clear" w:color="auto" w:fill="FFFFFF"/>
        </w:rPr>
        <w:t>Assessee sold one residential property and purchased another residential property in India for Rs.10, 00,000/- but its guideline value is Rs.20, 00,000/-. So, what is the amount eligible for exemption and also if the assessee sold the new property within 2 yrs. from the date of purchase what is the tax consequences?</w:t>
      </w:r>
      <w:r>
        <w:rPr>
          <w:rFonts w:ascii="Helvetica" w:hAnsi="Helvetica" w:cs="Helvetica"/>
          <w:color w:val="333333"/>
          <w:sz w:val="23"/>
          <w:szCs w:val="23"/>
        </w:rPr>
        <w:br/>
      </w:r>
      <w:r>
        <w:rPr>
          <w:rFonts w:ascii="Helvetica" w:hAnsi="Helvetica" w:cs="Helvetica"/>
          <w:color w:val="333333"/>
          <w:sz w:val="23"/>
          <w:szCs w:val="23"/>
        </w:rPr>
        <w:br/>
      </w:r>
    </w:p>
    <w:p w:rsidR="007B564A" w:rsidRDefault="00810BAC" w:rsidP="00E26E1E">
      <w:pPr>
        <w:rPr>
          <w:rFonts w:cstheme="minorHAnsi"/>
          <w:color w:val="333333"/>
          <w:shd w:val="clear" w:color="auto" w:fill="FFFFFF"/>
        </w:rPr>
      </w:pPr>
      <w:r w:rsidRPr="00955E57">
        <w:rPr>
          <w:rFonts w:cstheme="minorHAnsi"/>
          <w:color w:val="333333"/>
          <w:shd w:val="clear" w:color="auto" w:fill="FFFFFF"/>
        </w:rPr>
        <w:t>Opinion:</w:t>
      </w:r>
      <w:r w:rsidR="0060616B" w:rsidRPr="00955E57">
        <w:rPr>
          <w:rFonts w:cstheme="minorHAnsi"/>
          <w:color w:val="333333"/>
          <w:shd w:val="clear" w:color="auto" w:fill="FFFFFF"/>
        </w:rPr>
        <w:t xml:space="preserve"> </w:t>
      </w:r>
    </w:p>
    <w:p w:rsidR="004F55C8" w:rsidRDefault="004F55C8" w:rsidP="004F55C8">
      <w:pPr>
        <w:pStyle w:val="ListParagraph"/>
        <w:numPr>
          <w:ilvl w:val="0"/>
          <w:numId w:val="14"/>
        </w:numPr>
        <w:rPr>
          <w:rFonts w:cstheme="minorHAnsi"/>
          <w:color w:val="333333"/>
          <w:shd w:val="clear" w:color="auto" w:fill="FFFFFF"/>
        </w:rPr>
      </w:pPr>
      <w:r>
        <w:rPr>
          <w:rFonts w:cstheme="minorHAnsi"/>
          <w:color w:val="333333"/>
          <w:shd w:val="clear" w:color="auto" w:fill="FFFFFF"/>
        </w:rPr>
        <w:t>The Stamp duty value will be treated as the Full Value of the consideration to compute Capital Gains ( since guidance value is Rs 20,00,000 while the declared value is Rs 10,00,000)</w:t>
      </w:r>
    </w:p>
    <w:p w:rsidR="004F55C8" w:rsidRDefault="004F55C8" w:rsidP="004F55C8">
      <w:pPr>
        <w:pStyle w:val="ListParagraph"/>
        <w:numPr>
          <w:ilvl w:val="0"/>
          <w:numId w:val="14"/>
        </w:numPr>
        <w:rPr>
          <w:rFonts w:cstheme="minorHAnsi"/>
          <w:color w:val="333333"/>
          <w:shd w:val="clear" w:color="auto" w:fill="FFFFFF"/>
        </w:rPr>
      </w:pPr>
      <w:r>
        <w:rPr>
          <w:rFonts w:cstheme="minorHAnsi"/>
          <w:color w:val="333333"/>
          <w:shd w:val="clear" w:color="auto" w:fill="FFFFFF"/>
        </w:rPr>
        <w:t>Eligible exemption will be under section 54 – the value of investment in new house or the capital gain whichever is less</w:t>
      </w:r>
    </w:p>
    <w:p w:rsidR="004F55C8" w:rsidRPr="004F55C8" w:rsidRDefault="004F55C8" w:rsidP="006A64F1">
      <w:pPr>
        <w:pStyle w:val="ListParagraph"/>
        <w:numPr>
          <w:ilvl w:val="0"/>
          <w:numId w:val="14"/>
        </w:numPr>
        <w:rPr>
          <w:rFonts w:cstheme="minorHAnsi"/>
          <w:color w:val="333333"/>
          <w:shd w:val="clear" w:color="auto" w:fill="FFFFFF"/>
        </w:rPr>
      </w:pPr>
      <w:r w:rsidRPr="004F55C8">
        <w:rPr>
          <w:rFonts w:cstheme="minorHAnsi"/>
          <w:color w:val="333333"/>
          <w:shd w:val="clear" w:color="auto" w:fill="FFFFFF"/>
        </w:rPr>
        <w:t>The period of holding of the new property is 3 years. If it is sold within 2 years, the earlier exemption will be withdrawn and taxed in the year of new transfer.</w:t>
      </w:r>
    </w:p>
    <w:p w:rsidR="000F4041" w:rsidRDefault="000F4041" w:rsidP="00E26E1E">
      <w:pPr>
        <w:rPr>
          <w:rFonts w:cstheme="minorHAnsi"/>
          <w:color w:val="333333"/>
          <w:shd w:val="clear" w:color="auto" w:fill="FFFFFF"/>
        </w:rPr>
      </w:pPr>
      <w:r>
        <w:rPr>
          <w:rFonts w:cstheme="minorHAnsi"/>
          <w:color w:val="333333"/>
          <w:shd w:val="clear" w:color="auto" w:fill="FFFFFF"/>
        </w:rPr>
        <w:t>Backup material:</w:t>
      </w:r>
    </w:p>
    <w:p w:rsidR="000A7F32" w:rsidRDefault="000A7F32" w:rsidP="000A7F32">
      <w:pPr>
        <w:pStyle w:val="tx"/>
        <w:numPr>
          <w:ilvl w:val="0"/>
          <w:numId w:val="13"/>
        </w:numPr>
        <w:shd w:val="clear" w:color="auto" w:fill="FFFFFF"/>
        <w:spacing w:before="0" w:beforeAutospacing="0" w:after="80" w:afterAutospacing="0"/>
        <w:jc w:val="both"/>
        <w:rPr>
          <w:color w:val="444444"/>
        </w:rPr>
      </w:pPr>
      <w:r>
        <w:rPr>
          <w:color w:val="444444"/>
        </w:rPr>
        <w:t>The capital gains on transfer of capital asset shall be computed in the following manner:</w:t>
      </w:r>
    </w:p>
    <w:tbl>
      <w:tblPr>
        <w:tblW w:w="5000" w:type="pct"/>
        <w:tblCellMar>
          <w:top w:w="60" w:type="dxa"/>
          <w:left w:w="60" w:type="dxa"/>
          <w:bottom w:w="60" w:type="dxa"/>
          <w:right w:w="60" w:type="dxa"/>
        </w:tblCellMar>
        <w:tblLook w:val="04A0" w:firstRow="1" w:lastRow="0" w:firstColumn="1" w:lastColumn="0" w:noHBand="0" w:noVBand="1"/>
      </w:tblPr>
      <w:tblGrid>
        <w:gridCol w:w="3024"/>
        <w:gridCol w:w="3024"/>
        <w:gridCol w:w="2962"/>
      </w:tblGrid>
      <w:tr w:rsidR="000A7F32" w:rsidTr="000A7F32">
        <w:tc>
          <w:tcPr>
            <w:tcW w:w="1678"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center"/>
            </w:pPr>
            <w:r>
              <w:rPr>
                <w:b/>
                <w:bCs/>
              </w:rPr>
              <w:t>Short-term capital assets</w:t>
            </w:r>
          </w:p>
          <w:p w:rsidR="000A7F32" w:rsidRDefault="000A7F32" w:rsidP="00540A85">
            <w:pPr>
              <w:pStyle w:val="tx"/>
              <w:spacing w:before="0" w:beforeAutospacing="0" w:after="80" w:afterAutospacing="0"/>
              <w:jc w:val="center"/>
            </w:pPr>
            <w:r>
              <w:rPr>
                <w:b/>
                <w:bCs/>
              </w:rPr>
              <w:t>[</w:t>
            </w:r>
            <w:hyperlink r:id="rId8" w:history="1">
              <w:r>
                <w:rPr>
                  <w:rStyle w:val="Hyperlink"/>
                  <w:rFonts w:eastAsiaTheme="majorEastAsia"/>
                  <w:b/>
                  <w:bCs/>
                  <w:color w:val="663399"/>
                </w:rPr>
                <w:t>Section 48</w:t>
              </w:r>
            </w:hyperlink>
            <w:r>
              <w:rPr>
                <w:b/>
                <w:bCs/>
              </w:rPr>
              <w:t>]</w:t>
            </w:r>
          </w:p>
        </w:tc>
        <w:tc>
          <w:tcPr>
            <w:tcW w:w="1678"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center"/>
            </w:pPr>
            <w:r>
              <w:rPr>
                <w:b/>
                <w:bCs/>
              </w:rPr>
              <w:t>Long-term capital assets</w:t>
            </w:r>
          </w:p>
          <w:p w:rsidR="000A7F32" w:rsidRDefault="000A7F32" w:rsidP="00540A85">
            <w:pPr>
              <w:pStyle w:val="tx"/>
              <w:spacing w:before="0" w:beforeAutospacing="0" w:after="80" w:afterAutospacing="0"/>
              <w:jc w:val="center"/>
            </w:pPr>
            <w:r>
              <w:rPr>
                <w:b/>
                <w:bCs/>
              </w:rPr>
              <w:t>[</w:t>
            </w:r>
            <w:hyperlink r:id="rId9" w:history="1">
              <w:r>
                <w:rPr>
                  <w:rStyle w:val="Hyperlink"/>
                  <w:rFonts w:eastAsiaTheme="majorEastAsia"/>
                  <w:b/>
                  <w:bCs/>
                  <w:color w:val="663399"/>
                </w:rPr>
                <w:t>Section 48</w:t>
              </w:r>
            </w:hyperlink>
            <w:r>
              <w:rPr>
                <w:b/>
                <w:bCs/>
              </w:rPr>
              <w:t>]</w:t>
            </w:r>
          </w:p>
        </w:tc>
        <w:tc>
          <w:tcPr>
            <w:tcW w:w="1644"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center"/>
            </w:pPr>
            <w:r>
              <w:rPr>
                <w:b/>
                <w:bCs/>
              </w:rPr>
              <w:t>Depreciable asset</w:t>
            </w:r>
          </w:p>
          <w:p w:rsidR="000A7F32" w:rsidRDefault="000A7F32" w:rsidP="00540A85">
            <w:pPr>
              <w:pStyle w:val="tx"/>
              <w:spacing w:before="0" w:beforeAutospacing="0" w:after="80" w:afterAutospacing="0"/>
              <w:jc w:val="center"/>
            </w:pPr>
            <w:r>
              <w:rPr>
                <w:b/>
                <w:bCs/>
              </w:rPr>
              <w:t>[</w:t>
            </w:r>
            <w:hyperlink r:id="rId10" w:history="1">
              <w:r>
                <w:rPr>
                  <w:rStyle w:val="Hyperlink"/>
                  <w:rFonts w:eastAsiaTheme="majorEastAsia"/>
                  <w:b/>
                  <w:bCs/>
                  <w:color w:val="663399"/>
                </w:rPr>
                <w:t>Section 50</w:t>
              </w:r>
            </w:hyperlink>
            <w:r>
              <w:rPr>
                <w:b/>
                <w:bCs/>
              </w:rPr>
              <w:t>]*</w:t>
            </w:r>
          </w:p>
        </w:tc>
      </w:tr>
      <w:tr w:rsidR="000A7F32" w:rsidTr="000A7F32">
        <w:tc>
          <w:tcPr>
            <w:tcW w:w="1678"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both"/>
            </w:pPr>
            <w:r>
              <w:t>Full value of consideration</w:t>
            </w:r>
          </w:p>
          <w:p w:rsidR="000A7F32" w:rsidRDefault="000A7F32" w:rsidP="00540A85">
            <w:pPr>
              <w:pStyle w:val="tx"/>
              <w:spacing w:before="0" w:beforeAutospacing="0" w:after="80" w:afterAutospacing="0"/>
              <w:jc w:val="both"/>
            </w:pPr>
            <w:r>
              <w:rPr>
                <w:i/>
                <w:iCs/>
              </w:rPr>
              <w:t>Less:</w:t>
            </w:r>
            <w:r>
              <w:rPr>
                <w:rStyle w:val="apple-converted-space"/>
              </w:rPr>
              <w:t> </w:t>
            </w:r>
            <w:r>
              <w:t>Cost of acquisition of asset</w:t>
            </w:r>
          </w:p>
          <w:p w:rsidR="000A7F32" w:rsidRDefault="000A7F32" w:rsidP="00540A85">
            <w:pPr>
              <w:pStyle w:val="tx"/>
              <w:spacing w:before="0" w:beforeAutospacing="0" w:after="80" w:afterAutospacing="0"/>
              <w:jc w:val="both"/>
            </w:pPr>
            <w:r>
              <w:rPr>
                <w:i/>
                <w:iCs/>
              </w:rPr>
              <w:t>Less:</w:t>
            </w:r>
            <w:r>
              <w:rPr>
                <w:rStyle w:val="apple-converted-space"/>
              </w:rPr>
              <w:t> </w:t>
            </w:r>
            <w:r>
              <w:t>Cost of improvement</w:t>
            </w:r>
          </w:p>
          <w:p w:rsidR="000A7F32" w:rsidRDefault="000A7F32" w:rsidP="00540A85">
            <w:pPr>
              <w:pStyle w:val="tx"/>
              <w:spacing w:before="0" w:beforeAutospacing="0" w:after="80" w:afterAutospacing="0"/>
              <w:jc w:val="both"/>
            </w:pPr>
            <w:r>
              <w:rPr>
                <w:i/>
                <w:iCs/>
              </w:rPr>
              <w:t>Less:</w:t>
            </w:r>
            <w:r>
              <w:rPr>
                <w:rStyle w:val="apple-converted-space"/>
              </w:rPr>
              <w:t> </w:t>
            </w:r>
            <w:r>
              <w:t>Expenditure incurred wholly and exclusively in connection with such transfer</w:t>
            </w:r>
          </w:p>
        </w:tc>
        <w:tc>
          <w:tcPr>
            <w:tcW w:w="1678"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both"/>
            </w:pPr>
            <w:r>
              <w:t>Full value of consideration</w:t>
            </w:r>
          </w:p>
          <w:p w:rsidR="000A7F32" w:rsidRDefault="000A7F32" w:rsidP="00540A85">
            <w:pPr>
              <w:pStyle w:val="tx"/>
              <w:spacing w:before="0" w:beforeAutospacing="0" w:after="80" w:afterAutospacing="0"/>
              <w:jc w:val="both"/>
            </w:pPr>
            <w:r>
              <w:rPr>
                <w:i/>
                <w:iCs/>
              </w:rPr>
              <w:t>Less:</w:t>
            </w:r>
            <w:r>
              <w:rPr>
                <w:rStyle w:val="apple-converted-space"/>
              </w:rPr>
              <w:t> </w:t>
            </w:r>
            <w:r>
              <w:t>Indexed Cost of acquisition (</w:t>
            </w:r>
            <w:r>
              <w:rPr>
                <w:i/>
                <w:iCs/>
              </w:rPr>
              <w:t>See Note 1</w:t>
            </w:r>
            <w:r>
              <w:t>)</w:t>
            </w:r>
          </w:p>
          <w:p w:rsidR="000A7F32" w:rsidRDefault="000A7F32" w:rsidP="00540A85">
            <w:pPr>
              <w:pStyle w:val="tx"/>
              <w:spacing w:before="0" w:beforeAutospacing="0" w:after="80" w:afterAutospacing="0"/>
              <w:jc w:val="both"/>
            </w:pPr>
            <w:r>
              <w:rPr>
                <w:i/>
                <w:iCs/>
              </w:rPr>
              <w:t>Less:</w:t>
            </w:r>
            <w:r>
              <w:rPr>
                <w:rStyle w:val="apple-converted-space"/>
              </w:rPr>
              <w:t> </w:t>
            </w:r>
            <w:r>
              <w:t>Indexed Cost of Improvement (</w:t>
            </w:r>
            <w:r>
              <w:rPr>
                <w:i/>
                <w:iCs/>
              </w:rPr>
              <w:t>See Note 1</w:t>
            </w:r>
            <w:r>
              <w:t>)</w:t>
            </w:r>
          </w:p>
          <w:p w:rsidR="000A7F32" w:rsidRDefault="000A7F32" w:rsidP="00540A85">
            <w:pPr>
              <w:pStyle w:val="tx"/>
              <w:spacing w:before="0" w:beforeAutospacing="0" w:after="80" w:afterAutospacing="0"/>
              <w:jc w:val="both"/>
            </w:pPr>
            <w:r>
              <w:rPr>
                <w:i/>
                <w:iCs/>
              </w:rPr>
              <w:t>Less:</w:t>
            </w:r>
            <w:r>
              <w:rPr>
                <w:rStyle w:val="apple-converted-space"/>
              </w:rPr>
              <w:t> </w:t>
            </w:r>
            <w:r>
              <w:t>Expenditure incurred wholly and exclusively in connection with such transfer</w:t>
            </w:r>
          </w:p>
        </w:tc>
        <w:tc>
          <w:tcPr>
            <w:tcW w:w="1644"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both"/>
            </w:pPr>
            <w:r>
              <w:t>WDV of block of asset at the beginning of previous year</w:t>
            </w:r>
          </w:p>
          <w:p w:rsidR="000A7F32" w:rsidRDefault="000A7F32" w:rsidP="00540A85">
            <w:pPr>
              <w:pStyle w:val="tx"/>
              <w:spacing w:before="0" w:beforeAutospacing="0" w:after="80" w:afterAutospacing="0"/>
              <w:jc w:val="both"/>
            </w:pPr>
            <w:r>
              <w:rPr>
                <w:i/>
                <w:iCs/>
              </w:rPr>
              <w:t>Add:</w:t>
            </w:r>
            <w:r>
              <w:rPr>
                <w:rStyle w:val="apple-converted-space"/>
              </w:rPr>
              <w:t> </w:t>
            </w:r>
            <w:r>
              <w:t>Actual cost of assets falling within that block acquired during the year</w:t>
            </w:r>
          </w:p>
          <w:p w:rsidR="000A7F32" w:rsidRDefault="000A7F32" w:rsidP="00540A85">
            <w:pPr>
              <w:pStyle w:val="tx"/>
              <w:spacing w:before="0" w:beforeAutospacing="0" w:after="80" w:afterAutospacing="0"/>
              <w:jc w:val="both"/>
            </w:pPr>
            <w:r>
              <w:rPr>
                <w:i/>
                <w:iCs/>
              </w:rPr>
              <w:t>Less:</w:t>
            </w:r>
            <w:r>
              <w:rPr>
                <w:rStyle w:val="apple-converted-space"/>
              </w:rPr>
              <w:t> </w:t>
            </w:r>
            <w:r>
              <w:t>Full value of consideration of assets transferred during the year</w:t>
            </w:r>
          </w:p>
          <w:p w:rsidR="000A7F32" w:rsidRDefault="000A7F32" w:rsidP="00540A85">
            <w:pPr>
              <w:pStyle w:val="tx"/>
              <w:spacing w:before="0" w:beforeAutospacing="0" w:after="80" w:afterAutospacing="0"/>
              <w:jc w:val="both"/>
            </w:pPr>
            <w:r>
              <w:t>Less: Expenditure incurred wholly and exclusively in connection with such transfer</w:t>
            </w:r>
          </w:p>
        </w:tc>
      </w:tr>
    </w:tbl>
    <w:p w:rsidR="00BB1A02" w:rsidRDefault="00BB1A02" w:rsidP="00BB1A02">
      <w:pPr>
        <w:pStyle w:val="tx"/>
        <w:shd w:val="clear" w:color="auto" w:fill="FFFFFF"/>
        <w:spacing w:before="0" w:beforeAutospacing="0" w:after="80" w:afterAutospacing="0"/>
        <w:jc w:val="both"/>
        <w:rPr>
          <w:color w:val="444444"/>
        </w:rPr>
      </w:pPr>
    </w:p>
    <w:p w:rsidR="000A7F32" w:rsidRDefault="000A7F32" w:rsidP="000A7F32">
      <w:pPr>
        <w:pStyle w:val="tx"/>
        <w:numPr>
          <w:ilvl w:val="0"/>
          <w:numId w:val="13"/>
        </w:numPr>
        <w:shd w:val="clear" w:color="auto" w:fill="FFFFFF"/>
        <w:spacing w:before="0" w:beforeAutospacing="0" w:after="80" w:afterAutospacing="0"/>
        <w:jc w:val="both"/>
        <w:rPr>
          <w:color w:val="444444"/>
        </w:rPr>
      </w:pPr>
      <w:r>
        <w:rPr>
          <w:color w:val="444444"/>
        </w:rPr>
        <w:t>Full value of consideration is the consideration received or receivable by the transferor in lieu of assets, which he has transferred. Such consideration may be received in cash or in kind. If it is received in kind, then fair market value (‘FMV’) of such assets shall be taken as full value of consideration.</w:t>
      </w:r>
    </w:p>
    <w:p w:rsidR="000A7F32" w:rsidRDefault="000A7F32" w:rsidP="000A7F32">
      <w:pPr>
        <w:pStyle w:val="tx"/>
        <w:shd w:val="clear" w:color="auto" w:fill="FFFFFF"/>
        <w:spacing w:before="0" w:beforeAutospacing="0" w:after="80" w:afterAutospacing="0"/>
        <w:ind w:left="720"/>
        <w:jc w:val="both"/>
        <w:rPr>
          <w:color w:val="444444"/>
        </w:rPr>
      </w:pPr>
      <w:r>
        <w:rPr>
          <w:color w:val="444444"/>
        </w:rPr>
        <w:lastRenderedPageBreak/>
        <w:t>However, in the following cases “full value of the consideration” shall be determined on notional basis as per the relevant provisions of the Income-tax Act, 1961:</w:t>
      </w:r>
    </w:p>
    <w:p w:rsidR="000A7F32" w:rsidRDefault="000A7F32" w:rsidP="000A7F32">
      <w:pPr>
        <w:pStyle w:val="tx"/>
        <w:shd w:val="clear" w:color="auto" w:fill="FFFFFF"/>
        <w:spacing w:before="0" w:beforeAutospacing="0" w:after="80" w:afterAutospacing="0"/>
        <w:ind w:left="720"/>
        <w:jc w:val="both"/>
        <w:rPr>
          <w:color w:val="444444"/>
        </w:rPr>
      </w:pPr>
    </w:p>
    <w:tbl>
      <w:tblPr>
        <w:tblW w:w="5000" w:type="pct"/>
        <w:tblInd w:w="-8" w:type="dxa"/>
        <w:tblCellMar>
          <w:top w:w="60" w:type="dxa"/>
          <w:left w:w="60" w:type="dxa"/>
          <w:bottom w:w="60" w:type="dxa"/>
          <w:right w:w="60" w:type="dxa"/>
        </w:tblCellMar>
        <w:tblLook w:val="04A0" w:firstRow="1" w:lastRow="0" w:firstColumn="1" w:lastColumn="0" w:noHBand="0" w:noVBand="1"/>
      </w:tblPr>
      <w:tblGrid>
        <w:gridCol w:w="474"/>
        <w:gridCol w:w="3081"/>
        <w:gridCol w:w="867"/>
        <w:gridCol w:w="4588"/>
      </w:tblGrid>
      <w:tr w:rsidR="000A7F32" w:rsidTr="000A7F32">
        <w:tc>
          <w:tcPr>
            <w:tcW w:w="263"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center"/>
            </w:pPr>
            <w:r>
              <w:rPr>
                <w:b/>
                <w:bCs/>
              </w:rPr>
              <w:t>S. No.</w:t>
            </w:r>
          </w:p>
        </w:tc>
        <w:tc>
          <w:tcPr>
            <w:tcW w:w="1710"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both"/>
            </w:pPr>
            <w:r>
              <w:rPr>
                <w:b/>
                <w:bCs/>
              </w:rPr>
              <w:t>Nature of transaction</w:t>
            </w:r>
          </w:p>
        </w:tc>
        <w:tc>
          <w:tcPr>
            <w:tcW w:w="481"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center"/>
            </w:pPr>
            <w:r>
              <w:rPr>
                <w:b/>
                <w:bCs/>
              </w:rPr>
              <w:t>Section</w:t>
            </w:r>
          </w:p>
        </w:tc>
        <w:tc>
          <w:tcPr>
            <w:tcW w:w="2546" w:type="pct"/>
            <w:tcBorders>
              <w:top w:val="single" w:sz="6" w:space="0" w:color="000000"/>
              <w:left w:val="single" w:sz="6" w:space="0" w:color="000000"/>
              <w:bottom w:val="single" w:sz="6" w:space="0" w:color="000000"/>
              <w:right w:val="single" w:sz="6" w:space="0" w:color="000000"/>
            </w:tcBorders>
            <w:hideMark/>
          </w:tcPr>
          <w:p w:rsidR="000A7F32" w:rsidRDefault="000A7F32" w:rsidP="00540A85">
            <w:pPr>
              <w:pStyle w:val="tx"/>
              <w:spacing w:before="0" w:beforeAutospacing="0" w:after="80" w:afterAutospacing="0"/>
              <w:jc w:val="both"/>
            </w:pPr>
            <w:r>
              <w:rPr>
                <w:b/>
                <w:bCs/>
              </w:rPr>
              <w:t>Full Value of Consideration</w:t>
            </w:r>
          </w:p>
        </w:tc>
      </w:tr>
      <w:tr w:rsidR="00BB1A02" w:rsidTr="000A7F32">
        <w:tc>
          <w:tcPr>
            <w:tcW w:w="263" w:type="pct"/>
            <w:tcBorders>
              <w:top w:val="single" w:sz="6" w:space="0" w:color="000000"/>
              <w:left w:val="single" w:sz="6" w:space="0" w:color="000000"/>
              <w:bottom w:val="single" w:sz="6" w:space="0" w:color="000000"/>
              <w:right w:val="single" w:sz="6" w:space="0" w:color="000000"/>
            </w:tcBorders>
          </w:tcPr>
          <w:p w:rsidR="00BB1A02" w:rsidRDefault="00BB1A02" w:rsidP="00BB1A02">
            <w:pPr>
              <w:pStyle w:val="tx"/>
              <w:spacing w:before="0" w:beforeAutospacing="0" w:after="80" w:afterAutospacing="0"/>
              <w:jc w:val="center"/>
            </w:pPr>
            <w:r>
              <w:t>7.</w:t>
            </w:r>
          </w:p>
        </w:tc>
        <w:tc>
          <w:tcPr>
            <w:tcW w:w="1710" w:type="pct"/>
            <w:tcBorders>
              <w:top w:val="single" w:sz="6" w:space="0" w:color="000000"/>
              <w:left w:val="single" w:sz="6" w:space="0" w:color="000000"/>
              <w:bottom w:val="single" w:sz="6" w:space="0" w:color="000000"/>
              <w:right w:val="single" w:sz="6" w:space="0" w:color="000000"/>
            </w:tcBorders>
          </w:tcPr>
          <w:p w:rsidR="00BB1A02" w:rsidRDefault="00BB1A02" w:rsidP="00BB1A02">
            <w:pPr>
              <w:pStyle w:val="tx"/>
              <w:spacing w:before="0" w:beforeAutospacing="0" w:after="80" w:afterAutospacing="0"/>
              <w:jc w:val="both"/>
            </w:pPr>
            <w:r>
              <w:t>In case of transfer of land or building, if sale consideration declared in the conveyance deed is less than the stamp duty value</w:t>
            </w:r>
          </w:p>
        </w:tc>
        <w:tc>
          <w:tcPr>
            <w:tcW w:w="481" w:type="pct"/>
            <w:tcBorders>
              <w:top w:val="single" w:sz="6" w:space="0" w:color="000000"/>
              <w:left w:val="single" w:sz="6" w:space="0" w:color="000000"/>
              <w:bottom w:val="single" w:sz="6" w:space="0" w:color="000000"/>
              <w:right w:val="single" w:sz="6" w:space="0" w:color="000000"/>
            </w:tcBorders>
          </w:tcPr>
          <w:p w:rsidR="00BB1A02" w:rsidRDefault="00BB1A02" w:rsidP="00BB1A02">
            <w:pPr>
              <w:pStyle w:val="tx"/>
              <w:spacing w:before="0" w:beforeAutospacing="0" w:after="80" w:afterAutospacing="0"/>
              <w:jc w:val="center"/>
            </w:pPr>
            <w:hyperlink r:id="rId11" w:history="1">
              <w:r>
                <w:rPr>
                  <w:rStyle w:val="Hyperlink"/>
                  <w:rFonts w:eastAsiaTheme="majorEastAsia"/>
                  <w:color w:val="663399"/>
                </w:rPr>
                <w:t>50C</w:t>
              </w:r>
            </w:hyperlink>
          </w:p>
        </w:tc>
        <w:tc>
          <w:tcPr>
            <w:tcW w:w="2546" w:type="pct"/>
            <w:tcBorders>
              <w:top w:val="single" w:sz="6" w:space="0" w:color="000000"/>
              <w:left w:val="single" w:sz="6" w:space="0" w:color="000000"/>
              <w:bottom w:val="single" w:sz="6" w:space="0" w:color="000000"/>
              <w:right w:val="single" w:sz="6" w:space="0" w:color="000000"/>
            </w:tcBorders>
          </w:tcPr>
          <w:p w:rsidR="00BB1A02" w:rsidRDefault="00BB1A02" w:rsidP="00BB1A02">
            <w:pPr>
              <w:pStyle w:val="tx"/>
              <w:spacing w:before="0" w:beforeAutospacing="0" w:after="80" w:afterAutospacing="0"/>
              <w:jc w:val="both"/>
            </w:pPr>
            <w:r>
              <w:t>The value adopted or assessed or assessable by the Stamp Valuation Authority shall be deemed to be the full value of consideration</w:t>
            </w:r>
          </w:p>
          <w:p w:rsidR="00BB1A02" w:rsidRDefault="00BB1A02" w:rsidP="00BB1A02">
            <w:pPr>
              <w:pStyle w:val="tx"/>
              <w:spacing w:before="0" w:beforeAutospacing="0" w:after="80" w:afterAutospacing="0"/>
              <w:jc w:val="both"/>
            </w:pPr>
            <w:r>
              <w:rPr>
                <w:b/>
                <w:bCs/>
              </w:rPr>
              <w:t>Note:</w:t>
            </w:r>
            <w:r>
              <w:rPr>
                <w:rStyle w:val="apple-converted-space"/>
                <w:b/>
                <w:bCs/>
              </w:rPr>
              <w:t> </w:t>
            </w:r>
            <w:r>
              <w:t>Where the date of agreement (fixing the amount of consideration) and the date of registration for the transfer of property are not the same, the value adopted or assessed or assessable by Stamp Valuation Authority on the date of agreement may be taken as full value of consideration.</w:t>
            </w:r>
          </w:p>
        </w:tc>
      </w:tr>
    </w:tbl>
    <w:p w:rsidR="000A7F32" w:rsidRPr="000A7F32" w:rsidRDefault="000A7F32" w:rsidP="000A7F32">
      <w:pPr>
        <w:pStyle w:val="ListParagraph"/>
        <w:rPr>
          <w:rFonts w:cstheme="minorHAnsi"/>
          <w:color w:val="333333"/>
          <w:shd w:val="clear" w:color="auto" w:fill="FFFFFF"/>
        </w:rPr>
      </w:pPr>
    </w:p>
    <w:tbl>
      <w:tblPr>
        <w:tblW w:w="19035" w:type="dxa"/>
        <w:tblCellMar>
          <w:top w:w="60" w:type="dxa"/>
          <w:left w:w="60" w:type="dxa"/>
          <w:bottom w:w="60" w:type="dxa"/>
          <w:right w:w="60" w:type="dxa"/>
        </w:tblCellMar>
        <w:tblLook w:val="04A0" w:firstRow="1" w:lastRow="0" w:firstColumn="1" w:lastColumn="0" w:noHBand="0" w:noVBand="1"/>
      </w:tblPr>
      <w:tblGrid>
        <w:gridCol w:w="18595"/>
        <w:gridCol w:w="440"/>
      </w:tblGrid>
      <w:tr w:rsidR="000F4041" w:rsidTr="00540A85">
        <w:tc>
          <w:tcPr>
            <w:tcW w:w="0" w:type="auto"/>
            <w:hideMark/>
          </w:tcPr>
          <w:p w:rsidR="000F4041" w:rsidRDefault="000F4041" w:rsidP="000F4041">
            <w:pPr>
              <w:pStyle w:val="tx"/>
              <w:numPr>
                <w:ilvl w:val="0"/>
                <w:numId w:val="13"/>
              </w:numPr>
              <w:spacing w:before="0" w:beforeAutospacing="0" w:after="80" w:afterAutospacing="0"/>
              <w:jc w:val="both"/>
            </w:pPr>
            <w:hyperlink r:id="rId12" w:anchor="rfn16" w:history="1">
              <w:r>
                <w:rPr>
                  <w:rStyle w:val="Hyperlink"/>
                  <w:rFonts w:eastAsiaTheme="majorEastAsia"/>
                  <w:b/>
                  <w:bCs/>
                  <w:color w:val="663399"/>
                </w:rPr>
                <w:t>Deduction/ Exemption under Capital Gain</w:t>
              </w:r>
            </w:hyperlink>
            <w:r>
              <w:rPr>
                <w:b/>
                <w:bCs/>
              </w:rPr>
              <w:t>  </w:t>
            </w:r>
          </w:p>
        </w:tc>
        <w:tc>
          <w:tcPr>
            <w:tcW w:w="0" w:type="auto"/>
            <w:vAlign w:val="bottom"/>
            <w:hideMark/>
          </w:tcPr>
          <w:p w:rsidR="000F4041" w:rsidRDefault="000F4041" w:rsidP="00540A85">
            <w:pPr>
              <w:pStyle w:val="z-TopofForm"/>
            </w:pPr>
            <w:r>
              <w:t>Top of Form</w:t>
            </w:r>
          </w:p>
          <w:p w:rsidR="000F4041" w:rsidRDefault="000F4041" w:rsidP="00540A85">
            <w:pPr>
              <w:pStyle w:val="z-BottomofForm"/>
            </w:pPr>
            <w:r>
              <w:t>Bottom of Form</w:t>
            </w:r>
          </w:p>
          <w:p w:rsidR="000F4041" w:rsidRDefault="000F4041" w:rsidP="00540A85"/>
        </w:tc>
      </w:tr>
    </w:tbl>
    <w:p w:rsidR="000F4041" w:rsidRDefault="000F4041" w:rsidP="000F4041">
      <w:pPr>
        <w:shd w:val="clear" w:color="auto" w:fill="FFFFFF"/>
        <w:rPr>
          <w:rFonts w:ascii="Segoe UI" w:hAnsi="Segoe UI" w:cs="Segoe UI"/>
          <w:vanish/>
          <w:color w:val="444444"/>
          <w:sz w:val="20"/>
          <w:szCs w:val="20"/>
        </w:rPr>
      </w:pPr>
    </w:p>
    <w:tbl>
      <w:tblPr>
        <w:tblW w:w="5000" w:type="pct"/>
        <w:tblInd w:w="-150" w:type="dxa"/>
        <w:tblLayout w:type="fixed"/>
        <w:tblCellMar>
          <w:top w:w="60" w:type="dxa"/>
          <w:left w:w="60" w:type="dxa"/>
          <w:bottom w:w="60" w:type="dxa"/>
          <w:right w:w="60" w:type="dxa"/>
        </w:tblCellMar>
        <w:tblLook w:val="04A0" w:firstRow="1" w:lastRow="0" w:firstColumn="1" w:lastColumn="0" w:noHBand="0" w:noVBand="1"/>
      </w:tblPr>
      <w:tblGrid>
        <w:gridCol w:w="4963"/>
        <w:gridCol w:w="4047"/>
      </w:tblGrid>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8C5570" w:rsidRDefault="000F4041" w:rsidP="00540A85">
            <w:pPr>
              <w:pStyle w:val="tx"/>
              <w:spacing w:before="0" w:beforeAutospacing="0" w:after="80" w:afterAutospacing="0"/>
              <w:rPr>
                <w:sz w:val="22"/>
                <w:szCs w:val="22"/>
                <w:u w:val="single"/>
              </w:rPr>
            </w:pPr>
            <w:r w:rsidRPr="008C5570">
              <w:rPr>
                <w:b/>
                <w:bCs/>
                <w:sz w:val="22"/>
                <w:szCs w:val="22"/>
                <w:u w:val="single"/>
              </w:rPr>
              <w:t>Particulars</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hyperlink r:id="rId13" w:history="1">
              <w:r w:rsidRPr="000F4041">
                <w:rPr>
                  <w:rStyle w:val="Hyperlink"/>
                  <w:rFonts w:eastAsiaTheme="majorEastAsia"/>
                  <w:b/>
                  <w:bCs/>
                  <w:color w:val="663399"/>
                  <w:sz w:val="22"/>
                  <w:szCs w:val="22"/>
                </w:rPr>
                <w:t>Section 54</w:t>
              </w:r>
            </w:hyperlink>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Eligible taxpayers</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Individual and HUF</w:t>
            </w:r>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Capital gains eligible for exemption</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Long-term</w:t>
            </w:r>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Capital gains arising from transfer of</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Residential House property</w:t>
            </w:r>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Assets to be acquired for exemption</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One residential house property</w:t>
            </w:r>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Time limit for acquiring the new assets</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Purchase: within 1 year before or 2 years after date of transfer</w:t>
            </w:r>
          </w:p>
          <w:p w:rsidR="000F4041" w:rsidRPr="000F4041" w:rsidRDefault="000F4041" w:rsidP="00540A85">
            <w:pPr>
              <w:pStyle w:val="tx"/>
              <w:spacing w:before="0" w:beforeAutospacing="0" w:after="80" w:afterAutospacing="0"/>
              <w:rPr>
                <w:sz w:val="22"/>
                <w:szCs w:val="22"/>
              </w:rPr>
            </w:pPr>
            <w:r w:rsidRPr="000F4041">
              <w:rPr>
                <w:sz w:val="22"/>
                <w:szCs w:val="22"/>
              </w:rPr>
              <w:t>Construction: within 3 years after date of transfer</w:t>
            </w:r>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Exemption Amount</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Investment in new assets or capital gain, whichever is lower</w:t>
            </w:r>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Withdrawal of exemption</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If new asset is transferred within 3 years of its acquisition</w:t>
            </w:r>
          </w:p>
        </w:tc>
      </w:tr>
      <w:tr w:rsidR="000F4041" w:rsidTr="000F4041">
        <w:tc>
          <w:tcPr>
            <w:tcW w:w="2754"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b/>
                <w:bCs/>
                <w:sz w:val="22"/>
                <w:szCs w:val="22"/>
              </w:rPr>
              <w:t>Deposit in Capital gains deposit scheme before due date under Sec. 139(1)</w:t>
            </w:r>
          </w:p>
        </w:tc>
        <w:tc>
          <w:tcPr>
            <w:tcW w:w="2246" w:type="pct"/>
            <w:tcBorders>
              <w:top w:val="single" w:sz="6" w:space="0" w:color="000000"/>
              <w:left w:val="single" w:sz="6" w:space="0" w:color="000000"/>
              <w:bottom w:val="single" w:sz="6" w:space="0" w:color="000000"/>
              <w:right w:val="single" w:sz="6" w:space="0" w:color="000000"/>
            </w:tcBorders>
            <w:hideMark/>
          </w:tcPr>
          <w:p w:rsidR="000F4041" w:rsidRPr="000F4041" w:rsidRDefault="000F4041" w:rsidP="00540A85">
            <w:pPr>
              <w:pStyle w:val="tx"/>
              <w:spacing w:before="0" w:beforeAutospacing="0" w:after="80" w:afterAutospacing="0"/>
              <w:rPr>
                <w:sz w:val="22"/>
                <w:szCs w:val="22"/>
              </w:rPr>
            </w:pPr>
            <w:r w:rsidRPr="000F4041">
              <w:rPr>
                <w:sz w:val="22"/>
                <w:szCs w:val="22"/>
              </w:rPr>
              <w:t>Yes</w:t>
            </w:r>
          </w:p>
        </w:tc>
      </w:tr>
    </w:tbl>
    <w:p w:rsidR="000A7F32" w:rsidRPr="0083409F" w:rsidRDefault="000A7F32" w:rsidP="000F4041">
      <w:pPr>
        <w:pStyle w:val="ListParagraph"/>
        <w:rPr>
          <w:rFonts w:cstheme="minorHAnsi"/>
          <w:color w:val="333333"/>
          <w:shd w:val="clear" w:color="auto" w:fill="FFFFFF"/>
        </w:rPr>
      </w:pPr>
      <w:bookmarkStart w:id="0" w:name="_GoBack"/>
      <w:bookmarkEnd w:id="0"/>
    </w:p>
    <w:p w:rsidR="009D3A76" w:rsidRPr="009D3A76" w:rsidRDefault="009D3A76" w:rsidP="009D3A76">
      <w:pPr>
        <w:pStyle w:val="tx"/>
        <w:shd w:val="clear" w:color="auto" w:fill="FFFFFF"/>
        <w:spacing w:before="0" w:beforeAutospacing="0" w:after="80" w:afterAutospacing="0"/>
        <w:jc w:val="both"/>
        <w:rPr>
          <w:color w:val="444444"/>
          <w:sz w:val="32"/>
          <w:szCs w:val="32"/>
        </w:rPr>
      </w:pPr>
      <w:r w:rsidRPr="009D3A76">
        <w:rPr>
          <w:b/>
          <w:bCs/>
          <w:color w:val="444444"/>
          <w:sz w:val="32"/>
          <w:szCs w:val="32"/>
        </w:rPr>
        <w:lastRenderedPageBreak/>
        <w:t>Income under the Capital Gains</w:t>
      </w:r>
    </w:p>
    <w:p w:rsidR="009D3A76" w:rsidRDefault="009D3A76" w:rsidP="009D3A76">
      <w:pPr>
        <w:pStyle w:val="tx"/>
        <w:shd w:val="clear" w:color="auto" w:fill="FFFFFF"/>
        <w:spacing w:before="0" w:beforeAutospacing="0" w:after="80" w:afterAutospacing="0"/>
        <w:jc w:val="both"/>
        <w:rPr>
          <w:color w:val="444444"/>
        </w:rPr>
      </w:pPr>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14" w:anchor="fn1" w:history="1">
        <w:r w:rsidRPr="009D3A76">
          <w:rPr>
            <w:rStyle w:val="Hyperlink"/>
            <w:rFonts w:eastAsiaTheme="majorEastAsia"/>
            <w:color w:val="auto"/>
            <w:sz w:val="32"/>
            <w:szCs w:val="32"/>
            <w:u w:val="none"/>
          </w:rPr>
          <w:t>Chargeability</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15" w:anchor="fn2" w:history="1">
        <w:r w:rsidRPr="009D3A76">
          <w:rPr>
            <w:rStyle w:val="Hyperlink"/>
            <w:rFonts w:eastAsiaTheme="majorEastAsia"/>
            <w:color w:val="auto"/>
            <w:sz w:val="32"/>
            <w:szCs w:val="32"/>
            <w:u w:val="none"/>
          </w:rPr>
          <w:t>Meaning of Capital Asset [Sec 2(14)]</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16" w:anchor="fn3" w:history="1">
        <w:r w:rsidRPr="009D3A76">
          <w:rPr>
            <w:rStyle w:val="Hyperlink"/>
            <w:rFonts w:eastAsiaTheme="majorEastAsia"/>
            <w:color w:val="auto"/>
            <w:sz w:val="32"/>
            <w:szCs w:val="32"/>
            <w:u w:val="none"/>
          </w:rPr>
          <w:t>Type of Capital Assets</w:t>
        </w:r>
      </w:hyperlink>
    </w:p>
    <w:p w:rsidR="009D3A76" w:rsidRPr="009D3A76" w:rsidRDefault="009D3A76" w:rsidP="009D3A76">
      <w:pPr>
        <w:pStyle w:val="tx"/>
        <w:numPr>
          <w:ilvl w:val="1"/>
          <w:numId w:val="10"/>
        </w:numPr>
        <w:tabs>
          <w:tab w:val="left" w:pos="750"/>
          <w:tab w:val="left" w:pos="1057"/>
        </w:tabs>
        <w:spacing w:before="0" w:beforeAutospacing="0" w:after="80" w:afterAutospacing="0"/>
        <w:rPr>
          <w:sz w:val="28"/>
          <w:szCs w:val="28"/>
        </w:rPr>
      </w:pPr>
      <w:r w:rsidRPr="009D3A76">
        <w:rPr>
          <w:sz w:val="12"/>
          <w:szCs w:val="12"/>
        </w:rPr>
        <w:t>○</w:t>
      </w:r>
      <w:r w:rsidRPr="009D3A76">
        <w:rPr>
          <w:rFonts w:asciiTheme="minorHAnsi" w:eastAsiaTheme="minorEastAsia" w:hAnsiTheme="minorHAnsi" w:cstheme="minorBidi"/>
          <w:sz w:val="12"/>
          <w:szCs w:val="12"/>
          <w:lang w:eastAsia="en-US" w:bidi="ta-IN"/>
        </w:rPr>
        <w:tab/>
      </w:r>
      <w:r w:rsidRPr="009D3A76">
        <w:rPr>
          <w:sz w:val="28"/>
          <w:szCs w:val="28"/>
        </w:rPr>
        <w:t> </w:t>
      </w:r>
      <w:hyperlink r:id="rId17" w:anchor="fn4" w:history="1">
        <w:r w:rsidRPr="009D3A76">
          <w:rPr>
            <w:rStyle w:val="Hyperlink"/>
            <w:rFonts w:eastAsiaTheme="majorEastAsia"/>
            <w:color w:val="auto"/>
            <w:sz w:val="28"/>
            <w:szCs w:val="28"/>
            <w:u w:val="none"/>
          </w:rPr>
          <w:t>Short Term Capital Asset</w:t>
        </w:r>
      </w:hyperlink>
    </w:p>
    <w:p w:rsidR="009D3A76" w:rsidRPr="009D3A76" w:rsidRDefault="009D3A76" w:rsidP="009D3A76">
      <w:pPr>
        <w:pStyle w:val="tx"/>
        <w:numPr>
          <w:ilvl w:val="1"/>
          <w:numId w:val="10"/>
        </w:numPr>
        <w:tabs>
          <w:tab w:val="left" w:pos="750"/>
          <w:tab w:val="left" w:pos="1057"/>
        </w:tabs>
        <w:spacing w:before="0" w:beforeAutospacing="0" w:after="80" w:afterAutospacing="0"/>
        <w:rPr>
          <w:sz w:val="28"/>
          <w:szCs w:val="28"/>
        </w:rPr>
      </w:pPr>
      <w:r w:rsidRPr="009D3A76">
        <w:rPr>
          <w:sz w:val="12"/>
          <w:szCs w:val="12"/>
        </w:rPr>
        <w:t>○</w:t>
      </w:r>
      <w:r w:rsidRPr="009D3A76">
        <w:rPr>
          <w:rFonts w:asciiTheme="minorHAnsi" w:eastAsiaTheme="minorEastAsia" w:hAnsiTheme="minorHAnsi" w:cstheme="minorBidi"/>
          <w:sz w:val="12"/>
          <w:szCs w:val="12"/>
          <w:lang w:eastAsia="en-US" w:bidi="ta-IN"/>
        </w:rPr>
        <w:tab/>
      </w:r>
      <w:r w:rsidRPr="009D3A76">
        <w:rPr>
          <w:sz w:val="28"/>
          <w:szCs w:val="28"/>
        </w:rPr>
        <w:t> </w:t>
      </w:r>
      <w:hyperlink r:id="rId18" w:anchor="fn5" w:history="1">
        <w:r w:rsidRPr="009D3A76">
          <w:rPr>
            <w:rStyle w:val="Hyperlink"/>
            <w:rFonts w:eastAsiaTheme="majorEastAsia"/>
            <w:color w:val="auto"/>
            <w:sz w:val="28"/>
            <w:szCs w:val="28"/>
            <w:u w:val="none"/>
          </w:rPr>
          <w:t>Long Term Capital Asset</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19" w:anchor="fn6" w:history="1">
        <w:r w:rsidRPr="009D3A76">
          <w:rPr>
            <w:rStyle w:val="Hyperlink"/>
            <w:rFonts w:eastAsiaTheme="majorEastAsia"/>
            <w:color w:val="auto"/>
            <w:sz w:val="32"/>
            <w:szCs w:val="32"/>
            <w:u w:val="none"/>
          </w:rPr>
          <w:t>Period of Holding</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20" w:anchor="fn7" w:history="1">
        <w:r w:rsidRPr="009D3A76">
          <w:rPr>
            <w:rStyle w:val="Hyperlink"/>
            <w:rFonts w:eastAsiaTheme="majorEastAsia"/>
            <w:color w:val="auto"/>
            <w:sz w:val="32"/>
            <w:szCs w:val="32"/>
            <w:u w:val="none"/>
          </w:rPr>
          <w:t>Meaning of Transfer [Section 2(47)]</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21" w:anchor="fn8" w:history="1">
        <w:r w:rsidRPr="009D3A76">
          <w:rPr>
            <w:rStyle w:val="Hyperlink"/>
            <w:rFonts w:eastAsiaTheme="majorEastAsia"/>
            <w:color w:val="auto"/>
            <w:sz w:val="32"/>
            <w:szCs w:val="32"/>
            <w:u w:val="none"/>
          </w:rPr>
          <w:t>Transactions which are not regarded as transfer [Section 47]</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22" w:anchor="fn9" w:history="1">
        <w:r w:rsidRPr="009D3A76">
          <w:rPr>
            <w:rStyle w:val="Hyperlink"/>
            <w:rFonts w:eastAsiaTheme="majorEastAsia"/>
            <w:color w:val="auto"/>
            <w:sz w:val="32"/>
            <w:szCs w:val="32"/>
            <w:u w:val="none"/>
          </w:rPr>
          <w:t>Computation of capital Gain</w:t>
        </w:r>
      </w:hyperlink>
    </w:p>
    <w:p w:rsidR="009D3A76" w:rsidRPr="009D3A76" w:rsidRDefault="009D3A76" w:rsidP="009D3A76">
      <w:pPr>
        <w:pStyle w:val="tx"/>
        <w:numPr>
          <w:ilvl w:val="1"/>
          <w:numId w:val="10"/>
        </w:numPr>
        <w:tabs>
          <w:tab w:val="left" w:pos="750"/>
          <w:tab w:val="left" w:pos="1057"/>
        </w:tabs>
        <w:spacing w:before="0" w:beforeAutospacing="0" w:after="80" w:afterAutospacing="0"/>
        <w:rPr>
          <w:sz w:val="28"/>
          <w:szCs w:val="28"/>
        </w:rPr>
      </w:pPr>
      <w:r w:rsidRPr="009D3A76">
        <w:rPr>
          <w:sz w:val="12"/>
          <w:szCs w:val="12"/>
        </w:rPr>
        <w:t>○</w:t>
      </w:r>
      <w:r w:rsidRPr="009D3A76">
        <w:rPr>
          <w:rFonts w:asciiTheme="minorHAnsi" w:eastAsiaTheme="minorEastAsia" w:hAnsiTheme="minorHAnsi" w:cstheme="minorBidi"/>
          <w:sz w:val="12"/>
          <w:szCs w:val="12"/>
          <w:lang w:eastAsia="en-US" w:bidi="ta-IN"/>
        </w:rPr>
        <w:tab/>
      </w:r>
      <w:r w:rsidRPr="009D3A76">
        <w:rPr>
          <w:sz w:val="28"/>
          <w:szCs w:val="28"/>
        </w:rPr>
        <w:t> </w:t>
      </w:r>
      <w:hyperlink r:id="rId23" w:anchor="fn10" w:history="1">
        <w:r w:rsidRPr="009D3A76">
          <w:rPr>
            <w:rStyle w:val="Hyperlink"/>
            <w:rFonts w:eastAsiaTheme="majorEastAsia"/>
            <w:color w:val="auto"/>
            <w:sz w:val="28"/>
            <w:szCs w:val="28"/>
            <w:u w:val="none"/>
          </w:rPr>
          <w:t>Full Value of Consideration</w:t>
        </w:r>
      </w:hyperlink>
    </w:p>
    <w:p w:rsidR="009D3A76" w:rsidRPr="009D3A76" w:rsidRDefault="009D3A76" w:rsidP="009D3A76">
      <w:pPr>
        <w:pStyle w:val="tx"/>
        <w:numPr>
          <w:ilvl w:val="1"/>
          <w:numId w:val="10"/>
        </w:numPr>
        <w:tabs>
          <w:tab w:val="left" w:pos="750"/>
          <w:tab w:val="left" w:pos="1057"/>
        </w:tabs>
        <w:spacing w:before="0" w:beforeAutospacing="0" w:after="80" w:afterAutospacing="0"/>
        <w:rPr>
          <w:sz w:val="28"/>
          <w:szCs w:val="28"/>
        </w:rPr>
      </w:pPr>
      <w:r w:rsidRPr="009D3A76">
        <w:rPr>
          <w:sz w:val="12"/>
          <w:szCs w:val="12"/>
        </w:rPr>
        <w:t>○</w:t>
      </w:r>
      <w:r w:rsidRPr="009D3A76">
        <w:rPr>
          <w:rFonts w:asciiTheme="minorHAnsi" w:eastAsiaTheme="minorEastAsia" w:hAnsiTheme="minorHAnsi" w:cstheme="minorBidi"/>
          <w:sz w:val="12"/>
          <w:szCs w:val="12"/>
          <w:lang w:eastAsia="en-US" w:bidi="ta-IN"/>
        </w:rPr>
        <w:tab/>
      </w:r>
      <w:r w:rsidRPr="009D3A76">
        <w:rPr>
          <w:sz w:val="28"/>
          <w:szCs w:val="28"/>
        </w:rPr>
        <w:t> </w:t>
      </w:r>
      <w:hyperlink r:id="rId24" w:anchor="fn11" w:history="1">
        <w:r w:rsidRPr="009D3A76">
          <w:rPr>
            <w:rStyle w:val="Hyperlink"/>
            <w:rFonts w:eastAsiaTheme="majorEastAsia"/>
            <w:color w:val="auto"/>
            <w:sz w:val="28"/>
            <w:szCs w:val="28"/>
            <w:u w:val="none"/>
          </w:rPr>
          <w:t>Cost of Acquisition</w:t>
        </w:r>
      </w:hyperlink>
    </w:p>
    <w:p w:rsidR="009D3A76" w:rsidRPr="009D3A76" w:rsidRDefault="009D3A76" w:rsidP="009D3A76">
      <w:pPr>
        <w:pStyle w:val="tx"/>
        <w:numPr>
          <w:ilvl w:val="1"/>
          <w:numId w:val="10"/>
        </w:numPr>
        <w:tabs>
          <w:tab w:val="left" w:pos="750"/>
          <w:tab w:val="left" w:pos="1057"/>
        </w:tabs>
        <w:spacing w:before="0" w:beforeAutospacing="0" w:after="80" w:afterAutospacing="0"/>
        <w:rPr>
          <w:sz w:val="28"/>
          <w:szCs w:val="28"/>
        </w:rPr>
      </w:pPr>
      <w:r w:rsidRPr="009D3A76">
        <w:rPr>
          <w:sz w:val="12"/>
          <w:szCs w:val="12"/>
        </w:rPr>
        <w:t>○</w:t>
      </w:r>
      <w:r w:rsidRPr="009D3A76">
        <w:rPr>
          <w:rFonts w:asciiTheme="minorHAnsi" w:eastAsiaTheme="minorEastAsia" w:hAnsiTheme="minorHAnsi" w:cstheme="minorBidi"/>
          <w:sz w:val="12"/>
          <w:szCs w:val="12"/>
          <w:lang w:eastAsia="en-US" w:bidi="ta-IN"/>
        </w:rPr>
        <w:tab/>
      </w:r>
      <w:r w:rsidRPr="009D3A76">
        <w:rPr>
          <w:sz w:val="28"/>
          <w:szCs w:val="28"/>
        </w:rPr>
        <w:t> </w:t>
      </w:r>
      <w:hyperlink r:id="rId25" w:anchor="fn12" w:history="1">
        <w:r w:rsidRPr="009D3A76">
          <w:rPr>
            <w:rStyle w:val="Hyperlink"/>
            <w:rFonts w:eastAsiaTheme="majorEastAsia"/>
            <w:color w:val="auto"/>
            <w:sz w:val="28"/>
            <w:szCs w:val="28"/>
            <w:u w:val="none"/>
          </w:rPr>
          <w:t>Cost to the Previous Owner [sec. 49(1)]</w:t>
        </w:r>
      </w:hyperlink>
    </w:p>
    <w:p w:rsidR="009D3A76" w:rsidRPr="009D3A76" w:rsidRDefault="009D3A76" w:rsidP="009D3A76">
      <w:pPr>
        <w:pStyle w:val="tx"/>
        <w:numPr>
          <w:ilvl w:val="1"/>
          <w:numId w:val="10"/>
        </w:numPr>
        <w:tabs>
          <w:tab w:val="left" w:pos="750"/>
          <w:tab w:val="left" w:pos="1057"/>
        </w:tabs>
        <w:spacing w:before="0" w:beforeAutospacing="0" w:after="80" w:afterAutospacing="0"/>
        <w:rPr>
          <w:sz w:val="28"/>
          <w:szCs w:val="28"/>
        </w:rPr>
      </w:pPr>
      <w:r w:rsidRPr="009D3A76">
        <w:rPr>
          <w:sz w:val="12"/>
          <w:szCs w:val="12"/>
        </w:rPr>
        <w:t>○</w:t>
      </w:r>
      <w:r w:rsidRPr="009D3A76">
        <w:rPr>
          <w:rFonts w:asciiTheme="minorHAnsi" w:eastAsiaTheme="minorEastAsia" w:hAnsiTheme="minorHAnsi" w:cstheme="minorBidi"/>
          <w:sz w:val="12"/>
          <w:szCs w:val="12"/>
          <w:lang w:eastAsia="en-US" w:bidi="ta-IN"/>
        </w:rPr>
        <w:tab/>
      </w:r>
      <w:r w:rsidRPr="009D3A76">
        <w:rPr>
          <w:sz w:val="28"/>
          <w:szCs w:val="28"/>
        </w:rPr>
        <w:t> </w:t>
      </w:r>
      <w:hyperlink r:id="rId26" w:anchor="fn13" w:history="1">
        <w:r w:rsidRPr="009D3A76">
          <w:rPr>
            <w:rStyle w:val="Hyperlink"/>
            <w:rFonts w:eastAsiaTheme="majorEastAsia"/>
            <w:color w:val="auto"/>
            <w:sz w:val="28"/>
            <w:szCs w:val="28"/>
            <w:u w:val="none"/>
          </w:rPr>
          <w:t>Cost of Improvement [Sec. 55(1)(b)]</w:t>
        </w:r>
      </w:hyperlink>
    </w:p>
    <w:p w:rsidR="009D3A76" w:rsidRPr="009D3A76" w:rsidRDefault="009D3A76" w:rsidP="009D3A76">
      <w:pPr>
        <w:pStyle w:val="tx"/>
        <w:numPr>
          <w:ilvl w:val="1"/>
          <w:numId w:val="10"/>
        </w:numPr>
        <w:tabs>
          <w:tab w:val="left" w:pos="750"/>
          <w:tab w:val="left" w:pos="1057"/>
        </w:tabs>
        <w:spacing w:before="0" w:beforeAutospacing="0" w:after="80" w:afterAutospacing="0"/>
        <w:rPr>
          <w:sz w:val="28"/>
          <w:szCs w:val="28"/>
        </w:rPr>
      </w:pPr>
      <w:r w:rsidRPr="009D3A76">
        <w:rPr>
          <w:sz w:val="12"/>
          <w:szCs w:val="12"/>
        </w:rPr>
        <w:t>○</w:t>
      </w:r>
      <w:r w:rsidRPr="009D3A76">
        <w:rPr>
          <w:rFonts w:asciiTheme="minorHAnsi" w:eastAsiaTheme="minorEastAsia" w:hAnsiTheme="minorHAnsi" w:cstheme="minorBidi"/>
          <w:sz w:val="12"/>
          <w:szCs w:val="12"/>
          <w:lang w:eastAsia="en-US" w:bidi="ta-IN"/>
        </w:rPr>
        <w:tab/>
      </w:r>
      <w:r w:rsidRPr="009D3A76">
        <w:rPr>
          <w:sz w:val="28"/>
          <w:szCs w:val="28"/>
        </w:rPr>
        <w:t> </w:t>
      </w:r>
      <w:hyperlink r:id="rId27" w:anchor="fn14" w:history="1">
        <w:r w:rsidRPr="009D3A76">
          <w:rPr>
            <w:rStyle w:val="Hyperlink"/>
            <w:rFonts w:eastAsiaTheme="majorEastAsia"/>
            <w:color w:val="auto"/>
            <w:sz w:val="28"/>
            <w:szCs w:val="28"/>
            <w:u w:val="none"/>
          </w:rPr>
          <w:t>Rates of tax on capital gains</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28" w:anchor="fn15" w:history="1">
        <w:r w:rsidRPr="009D3A76">
          <w:rPr>
            <w:rStyle w:val="Hyperlink"/>
            <w:rFonts w:eastAsiaTheme="majorEastAsia"/>
            <w:color w:val="auto"/>
            <w:sz w:val="32"/>
            <w:szCs w:val="32"/>
            <w:u w:val="none"/>
          </w:rPr>
          <w:t>Reference to valuation officer [Section 55A]</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29" w:anchor="fn16" w:history="1">
        <w:r w:rsidRPr="009D3A76">
          <w:rPr>
            <w:rStyle w:val="Hyperlink"/>
            <w:rFonts w:eastAsiaTheme="majorEastAsia"/>
            <w:color w:val="auto"/>
            <w:sz w:val="32"/>
            <w:szCs w:val="32"/>
            <w:u w:val="none"/>
          </w:rPr>
          <w:t>Deduction/ Exemption under Capital Gain</w:t>
        </w:r>
      </w:hyperlink>
    </w:p>
    <w:p w:rsidR="009D3A76" w:rsidRPr="009D3A76" w:rsidRDefault="009D3A76" w:rsidP="009D3A76">
      <w:pPr>
        <w:pStyle w:val="tx"/>
        <w:numPr>
          <w:ilvl w:val="0"/>
          <w:numId w:val="11"/>
        </w:numPr>
        <w:tabs>
          <w:tab w:val="left" w:pos="750"/>
        </w:tabs>
        <w:spacing w:before="0" w:beforeAutospacing="0" w:after="80" w:afterAutospacing="0"/>
        <w:rPr>
          <w:sz w:val="32"/>
          <w:szCs w:val="32"/>
        </w:rPr>
      </w:pPr>
      <w:hyperlink r:id="rId30" w:anchor="fn17" w:history="1">
        <w:r w:rsidRPr="009D3A76">
          <w:rPr>
            <w:rStyle w:val="Hyperlink"/>
            <w:rFonts w:eastAsiaTheme="majorEastAsia"/>
            <w:color w:val="auto"/>
            <w:sz w:val="32"/>
            <w:szCs w:val="32"/>
            <w:u w:val="none"/>
          </w:rPr>
          <w:t>Capital Gain Account Scheme 1988</w:t>
        </w:r>
      </w:hyperlink>
    </w:p>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5000" w:type="pct"/>
        <w:tblCellMar>
          <w:top w:w="60" w:type="dxa"/>
          <w:left w:w="60" w:type="dxa"/>
          <w:bottom w:w="60" w:type="dxa"/>
          <w:right w:w="60" w:type="dxa"/>
        </w:tblCellMar>
        <w:tblLook w:val="04A0" w:firstRow="1" w:lastRow="0" w:firstColumn="1" w:lastColumn="0" w:noHBand="0" w:noVBand="1"/>
      </w:tblPr>
      <w:tblGrid>
        <w:gridCol w:w="8414"/>
        <w:gridCol w:w="612"/>
      </w:tblGrid>
      <w:tr w:rsidR="009D3A76" w:rsidTr="006D10B8">
        <w:tc>
          <w:tcPr>
            <w:tcW w:w="4661" w:type="pct"/>
            <w:hideMark/>
          </w:tcPr>
          <w:p w:rsidR="009D3A76" w:rsidRDefault="009D3A76">
            <w:pPr>
              <w:pStyle w:val="tx"/>
              <w:spacing w:before="0" w:beforeAutospacing="0" w:after="80" w:afterAutospacing="0"/>
              <w:jc w:val="both"/>
            </w:pPr>
            <w:hyperlink r:id="rId31" w:anchor="rfn1" w:history="1">
              <w:r>
                <w:rPr>
                  <w:rStyle w:val="Hyperlink"/>
                  <w:rFonts w:eastAsiaTheme="majorEastAsia"/>
                  <w:b/>
                  <w:bCs/>
                  <w:color w:val="663399"/>
                </w:rPr>
                <w:t>Chargeability:</w:t>
              </w:r>
            </w:hyperlink>
            <w:r>
              <w:rPr>
                <w:b/>
                <w:bCs/>
              </w:rPr>
              <w:t>  </w:t>
            </w:r>
          </w:p>
        </w:tc>
        <w:tc>
          <w:tcPr>
            <w:tcW w:w="339" w:type="pct"/>
            <w:vAlign w:val="bottom"/>
            <w:hideMark/>
          </w:tcPr>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Capital gains shall be chargeable to tax if following conditions are satisfied:</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There should be a capital asset. In other words, the asset transferred should be a capital asset on the date of transfer;</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It should be transferred by the taxpayer during the previous year;</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c) There should be profits or gain as a result of transfer.</w:t>
      </w:r>
    </w:p>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451"/>
        <w:gridCol w:w="584"/>
      </w:tblGrid>
      <w:tr w:rsidR="009D3A76" w:rsidTr="009D3A76">
        <w:tc>
          <w:tcPr>
            <w:tcW w:w="0" w:type="auto"/>
            <w:hideMark/>
          </w:tcPr>
          <w:p w:rsidR="009D3A76" w:rsidRDefault="009D3A76">
            <w:pPr>
              <w:pStyle w:val="tx"/>
              <w:spacing w:before="0" w:beforeAutospacing="0" w:after="80" w:afterAutospacing="0"/>
              <w:jc w:val="both"/>
            </w:pPr>
            <w:hyperlink r:id="rId32" w:anchor="rfn2" w:history="1">
              <w:r>
                <w:rPr>
                  <w:rStyle w:val="Hyperlink"/>
                  <w:rFonts w:eastAsiaTheme="majorEastAsia"/>
                  <w:b/>
                  <w:bCs/>
                  <w:color w:val="663399"/>
                </w:rPr>
                <w:t>Meaning of Capital Asset</w:t>
              </w:r>
            </w:hyperlink>
            <w:r>
              <w:rPr>
                <w:rStyle w:val="apple-converted-space"/>
                <w:b/>
                <w:bCs/>
              </w:rPr>
              <w:t> </w:t>
            </w:r>
            <w:r>
              <w:rPr>
                <w:b/>
                <w:bCs/>
              </w:rPr>
              <w:t>[</w:t>
            </w:r>
            <w:hyperlink r:id="rId33" w:history="1">
              <w:r>
                <w:rPr>
                  <w:rStyle w:val="Hyperlink"/>
                  <w:rFonts w:eastAsiaTheme="majorEastAsia"/>
                  <w:b/>
                  <w:bCs/>
                  <w:color w:val="663399"/>
                </w:rPr>
                <w:t>Sec 2(14)</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Capital Asset is defined to include:</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Any kind of property held by an assessee, whether or not connected with business or profession of the assessee.</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Any securities held by a FII which has invested in such securities in accordance with the regulations made under the SEBI Act, 1992.</w:t>
      </w:r>
    </w:p>
    <w:p w:rsidR="009D3A76" w:rsidRDefault="009D3A76" w:rsidP="009D3A76">
      <w:pPr>
        <w:pStyle w:val="tx"/>
        <w:shd w:val="clear" w:color="auto" w:fill="FFFFFF"/>
        <w:spacing w:before="0" w:beforeAutospacing="0" w:after="80" w:afterAutospacing="0"/>
        <w:jc w:val="both"/>
        <w:rPr>
          <w:color w:val="444444"/>
        </w:rPr>
      </w:pPr>
      <w:r>
        <w:rPr>
          <w:color w:val="444444"/>
        </w:rPr>
        <w:t>However, the term ‘capital asset’ shall exclude the following:</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Stock-in-trade, consumable stores, raw materials held for the purpose of business or profession;</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Movable property held for personal use of taxpayer or for any member of his family dependent upon him. However, jewellery, costly stones, and ornaments made of silver, gold, platinum or any other precious metal, archaeological collections, drawings, paintings, sculptures or any work of art shall be considered as capital asset even if used for personal purposes;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c) Specified Gold Bonds and Special Bearer Bonds;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d) Agricultural Land in India, not being a land situated:</w:t>
      </w:r>
    </w:p>
    <w:p w:rsidR="009D3A76" w:rsidRDefault="009D3A76" w:rsidP="009D3A76">
      <w:pPr>
        <w:pStyle w:val="indent2"/>
        <w:shd w:val="clear" w:color="auto" w:fill="FFFFFF"/>
        <w:spacing w:before="0" w:beforeAutospacing="0" w:after="80" w:afterAutospacing="0"/>
        <w:ind w:left="1247" w:hanging="454"/>
        <w:jc w:val="both"/>
        <w:rPr>
          <w:color w:val="444444"/>
        </w:rPr>
      </w:pPr>
      <w:r>
        <w:rPr>
          <w:color w:val="444444"/>
        </w:rPr>
        <w:t>a. Within jurisdiction of municipality, notified area committee, town area committee, cantonment board and which has a population not less than 10,000;</w:t>
      </w:r>
    </w:p>
    <w:p w:rsidR="009D3A76" w:rsidRDefault="009D3A76" w:rsidP="009D3A76">
      <w:pPr>
        <w:pStyle w:val="indent2"/>
        <w:shd w:val="clear" w:color="auto" w:fill="FFFFFF"/>
        <w:spacing w:before="0" w:beforeAutospacing="0" w:after="80" w:afterAutospacing="0"/>
        <w:ind w:left="1247" w:hanging="454"/>
        <w:jc w:val="both"/>
        <w:rPr>
          <w:color w:val="444444"/>
        </w:rPr>
      </w:pPr>
      <w:r>
        <w:rPr>
          <w:color w:val="444444"/>
        </w:rPr>
        <w:t>b. Within range of following distance measured aerially from the local limits of any municipality or cantonment board:</w:t>
      </w:r>
    </w:p>
    <w:p w:rsidR="009D3A76" w:rsidRDefault="009D3A76" w:rsidP="009D3A76">
      <w:pPr>
        <w:pStyle w:val="indent3"/>
        <w:shd w:val="clear" w:color="auto" w:fill="FFFFFF"/>
        <w:spacing w:before="0" w:beforeAutospacing="0" w:after="80" w:afterAutospacing="0"/>
        <w:ind w:left="1814" w:hanging="397"/>
        <w:jc w:val="both"/>
        <w:rPr>
          <w:color w:val="444444"/>
        </w:rPr>
      </w:pPr>
      <w:proofErr w:type="gramStart"/>
      <w:r>
        <w:rPr>
          <w:color w:val="444444"/>
        </w:rPr>
        <w:t>i</w:t>
      </w:r>
      <w:proofErr w:type="gramEnd"/>
      <w:r>
        <w:rPr>
          <w:color w:val="444444"/>
        </w:rPr>
        <w:t>. not being more than 2 KMs, if population of such area is more than 10,000 but not exceeding 1 lakh;</w:t>
      </w:r>
    </w:p>
    <w:p w:rsidR="009D3A76" w:rsidRDefault="009D3A76" w:rsidP="009D3A76">
      <w:pPr>
        <w:pStyle w:val="indent3"/>
        <w:shd w:val="clear" w:color="auto" w:fill="FFFFFF"/>
        <w:spacing w:before="0" w:beforeAutospacing="0" w:after="80" w:afterAutospacing="0"/>
        <w:ind w:left="1814" w:hanging="397"/>
        <w:jc w:val="both"/>
        <w:rPr>
          <w:color w:val="444444"/>
        </w:rPr>
      </w:pPr>
      <w:r>
        <w:rPr>
          <w:color w:val="444444"/>
        </w:rPr>
        <w:t xml:space="preserve">ii. </w:t>
      </w:r>
      <w:proofErr w:type="gramStart"/>
      <w:r>
        <w:rPr>
          <w:color w:val="444444"/>
        </w:rPr>
        <w:t>not</w:t>
      </w:r>
      <w:proofErr w:type="gramEnd"/>
      <w:r>
        <w:rPr>
          <w:color w:val="444444"/>
        </w:rPr>
        <w:t xml:space="preserve"> being more than 6 KMs , if population of such area is more than 1 lakh but not exceeding 10 lakhs; or</w:t>
      </w:r>
    </w:p>
    <w:p w:rsidR="009D3A76" w:rsidRDefault="009D3A76" w:rsidP="009D3A76">
      <w:pPr>
        <w:pStyle w:val="indent3"/>
        <w:shd w:val="clear" w:color="auto" w:fill="FFFFFF"/>
        <w:spacing w:before="0" w:beforeAutospacing="0" w:after="80" w:afterAutospacing="0"/>
        <w:ind w:left="1814" w:hanging="397"/>
        <w:jc w:val="both"/>
        <w:rPr>
          <w:color w:val="444444"/>
        </w:rPr>
      </w:pPr>
      <w:r>
        <w:rPr>
          <w:color w:val="444444"/>
        </w:rPr>
        <w:t xml:space="preserve">iii. </w:t>
      </w:r>
      <w:proofErr w:type="gramStart"/>
      <w:r>
        <w:rPr>
          <w:color w:val="444444"/>
        </w:rPr>
        <w:t>not</w:t>
      </w:r>
      <w:proofErr w:type="gramEnd"/>
      <w:r>
        <w:rPr>
          <w:color w:val="444444"/>
        </w:rPr>
        <w:t xml:space="preserve"> being more than 8 KMs , if population of such area is more than 10 lakhs.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 e)  Deposit certificates issued under the Gold Monetisation Scheme, 2015</w:t>
      </w:r>
    </w:p>
    <w:tbl>
      <w:tblPr>
        <w:tblW w:w="19035" w:type="dxa"/>
        <w:tblCellMar>
          <w:top w:w="60" w:type="dxa"/>
          <w:left w:w="60" w:type="dxa"/>
          <w:bottom w:w="60" w:type="dxa"/>
          <w:right w:w="60" w:type="dxa"/>
        </w:tblCellMar>
        <w:tblLook w:val="04A0" w:firstRow="1" w:lastRow="0" w:firstColumn="1" w:lastColumn="0" w:noHBand="0" w:noVBand="1"/>
      </w:tblPr>
      <w:tblGrid>
        <w:gridCol w:w="18154"/>
        <w:gridCol w:w="881"/>
      </w:tblGrid>
      <w:tr w:rsidR="009D3A76" w:rsidTr="009D3A76">
        <w:tc>
          <w:tcPr>
            <w:tcW w:w="0" w:type="auto"/>
            <w:hideMark/>
          </w:tcPr>
          <w:p w:rsidR="009D3A76" w:rsidRDefault="009D3A76">
            <w:pPr>
              <w:pStyle w:val="tx"/>
              <w:spacing w:before="0" w:beforeAutospacing="0" w:after="80" w:afterAutospacing="0"/>
              <w:jc w:val="both"/>
            </w:pPr>
            <w:r>
              <w:rPr>
                <w:rFonts w:ascii="Segoe UI" w:hAnsi="Segoe UI" w:cs="Segoe UI"/>
                <w:color w:val="444444"/>
                <w:sz w:val="20"/>
                <w:szCs w:val="20"/>
              </w:rPr>
              <w:t> </w:t>
            </w:r>
            <w:hyperlink r:id="rId34" w:anchor="rfn3" w:history="1">
              <w:r>
                <w:rPr>
                  <w:rStyle w:val="Hyperlink"/>
                  <w:rFonts w:eastAsiaTheme="majorEastAsia"/>
                  <w:b/>
                  <w:bCs/>
                  <w:color w:val="663399"/>
                </w:rPr>
                <w:t>Type of Capital Assets</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shd w:val="clear" w:color="auto" w:fill="FFFFFF"/>
        <w:rPr>
          <w:rFonts w:ascii="Segoe UI" w:hAnsi="Segoe UI" w:cs="Segoe UI"/>
          <w:vanish/>
          <w:color w:val="444444"/>
          <w:sz w:val="20"/>
          <w:szCs w:val="20"/>
        </w:rPr>
      </w:pPr>
    </w:p>
    <w:tbl>
      <w:tblPr>
        <w:tblW w:w="19035" w:type="dxa"/>
        <w:tblCellMar>
          <w:top w:w="60" w:type="dxa"/>
          <w:left w:w="60" w:type="dxa"/>
          <w:bottom w:w="60" w:type="dxa"/>
          <w:right w:w="60" w:type="dxa"/>
        </w:tblCellMar>
        <w:tblLook w:val="04A0" w:firstRow="1" w:lastRow="0" w:firstColumn="1" w:lastColumn="0" w:noHBand="0" w:noVBand="1"/>
      </w:tblPr>
      <w:tblGrid>
        <w:gridCol w:w="18307"/>
        <w:gridCol w:w="728"/>
      </w:tblGrid>
      <w:tr w:rsidR="009D3A76" w:rsidTr="009D3A76">
        <w:tc>
          <w:tcPr>
            <w:tcW w:w="0" w:type="auto"/>
            <w:hideMark/>
          </w:tcPr>
          <w:p w:rsidR="009D3A76" w:rsidRDefault="009D3A76">
            <w:pPr>
              <w:pStyle w:val="tx"/>
              <w:spacing w:before="0" w:beforeAutospacing="0" w:after="80" w:afterAutospacing="0"/>
              <w:jc w:val="both"/>
            </w:pPr>
            <w:r>
              <w:rPr>
                <w:b/>
                <w:bCs/>
              </w:rPr>
              <w:t>A.</w:t>
            </w:r>
            <w:r>
              <w:rPr>
                <w:rStyle w:val="apple-converted-space"/>
                <w:b/>
                <w:bCs/>
              </w:rPr>
              <w:t> </w:t>
            </w:r>
            <w:hyperlink r:id="rId35" w:anchor="rfn4" w:history="1">
              <w:r>
                <w:rPr>
                  <w:rStyle w:val="Hyperlink"/>
                  <w:rFonts w:eastAsiaTheme="majorEastAsia"/>
                  <w:b/>
                  <w:bCs/>
                  <w:color w:val="663399"/>
                </w:rPr>
                <w:t>Short Term Capital Asset</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Capital asset held for not more than 36 months immediately prior to the date of transfer shall be deemed as short-term capital asset. However, following assets held for not more than 12 months shall be treated as short-term capital assets: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Equity or preference shares in a company which are listed in any recognized stock exchange in India;</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Other listed securities;</w:t>
      </w:r>
    </w:p>
    <w:p w:rsidR="00743D5C" w:rsidRDefault="009D3A76" w:rsidP="009D3A76">
      <w:pPr>
        <w:pStyle w:val="indent1"/>
        <w:shd w:val="clear" w:color="auto" w:fill="FFFFFF"/>
        <w:spacing w:before="0" w:beforeAutospacing="0" w:after="80" w:afterAutospacing="0"/>
        <w:ind w:left="567" w:hanging="397"/>
        <w:jc w:val="both"/>
        <w:rPr>
          <w:color w:val="444444"/>
        </w:rPr>
      </w:pPr>
      <w:r>
        <w:rPr>
          <w:color w:val="444444"/>
        </w:rPr>
        <w:t>c) Units of UTI;</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lastRenderedPageBreak/>
        <w:t>d) Units of equity oriented funds; or</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e) Zero Coupon Bonds.</w:t>
      </w:r>
    </w:p>
    <w:p w:rsidR="009D3A76" w:rsidRDefault="009D3A76" w:rsidP="009D3A76">
      <w:pPr>
        <w:pStyle w:val="tx"/>
        <w:shd w:val="clear" w:color="auto" w:fill="FFFFFF"/>
        <w:spacing w:before="0" w:beforeAutospacing="0" w:after="80" w:afterAutospacing="0"/>
        <w:jc w:val="both"/>
        <w:rPr>
          <w:color w:val="444444"/>
        </w:rPr>
      </w:pPr>
      <w:r>
        <w:rPr>
          <w:color w:val="444444"/>
        </w:rPr>
        <w:t>Note: Unlisted shares held for not more than 24 months immediately prior to the date of transfer shall be treated as short-term capital asset.</w:t>
      </w:r>
    </w:p>
    <w:tbl>
      <w:tblPr>
        <w:tblW w:w="19035" w:type="dxa"/>
        <w:tblCellMar>
          <w:top w:w="60" w:type="dxa"/>
          <w:left w:w="60" w:type="dxa"/>
          <w:bottom w:w="60" w:type="dxa"/>
          <w:right w:w="60" w:type="dxa"/>
        </w:tblCellMar>
        <w:tblLook w:val="04A0" w:firstRow="1" w:lastRow="0" w:firstColumn="1" w:lastColumn="0" w:noHBand="0" w:noVBand="1"/>
      </w:tblPr>
      <w:tblGrid>
        <w:gridCol w:w="18307"/>
        <w:gridCol w:w="728"/>
      </w:tblGrid>
      <w:tr w:rsidR="009D3A76" w:rsidTr="009D3A76">
        <w:tc>
          <w:tcPr>
            <w:tcW w:w="0" w:type="auto"/>
            <w:hideMark/>
          </w:tcPr>
          <w:p w:rsidR="009D3A76" w:rsidRDefault="009D3A76">
            <w:pPr>
              <w:pStyle w:val="tx"/>
              <w:spacing w:before="0" w:beforeAutospacing="0" w:after="80" w:afterAutospacing="0"/>
              <w:jc w:val="both"/>
            </w:pPr>
            <w:r>
              <w:rPr>
                <w:rFonts w:ascii="Segoe UI" w:hAnsi="Segoe UI" w:cs="Segoe UI"/>
                <w:color w:val="444444"/>
                <w:sz w:val="20"/>
                <w:szCs w:val="20"/>
              </w:rPr>
              <w:t> </w:t>
            </w:r>
            <w:r>
              <w:rPr>
                <w:b/>
                <w:bCs/>
              </w:rPr>
              <w:t>B.</w:t>
            </w:r>
            <w:r>
              <w:rPr>
                <w:rStyle w:val="apple-converted-space"/>
                <w:b/>
                <w:bCs/>
              </w:rPr>
              <w:t> </w:t>
            </w:r>
            <w:hyperlink r:id="rId36" w:anchor="rfn5" w:history="1">
              <w:r>
                <w:rPr>
                  <w:rStyle w:val="Hyperlink"/>
                  <w:rFonts w:eastAsiaTheme="majorEastAsia"/>
                  <w:b/>
                  <w:bCs/>
                  <w:color w:val="663399"/>
                </w:rPr>
                <w:t>Long Term Capital Asset</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Capital Asset that held for more than 36 months or 12 months, as the case may be, immediately preceding the date of transfer is treated as long-term capital asset.</w:t>
      </w:r>
    </w:p>
    <w:tbl>
      <w:tblPr>
        <w:tblW w:w="5000" w:type="pct"/>
        <w:tblCellMar>
          <w:top w:w="60" w:type="dxa"/>
          <w:left w:w="60" w:type="dxa"/>
          <w:bottom w:w="60" w:type="dxa"/>
          <w:right w:w="60" w:type="dxa"/>
        </w:tblCellMar>
        <w:tblLook w:val="04A0" w:firstRow="1" w:lastRow="0" w:firstColumn="1" w:lastColumn="0" w:noHBand="0" w:noVBand="1"/>
      </w:tblPr>
      <w:tblGrid>
        <w:gridCol w:w="8521"/>
        <w:gridCol w:w="505"/>
      </w:tblGrid>
      <w:tr w:rsidR="009D3A76" w:rsidTr="00276331">
        <w:tc>
          <w:tcPr>
            <w:tcW w:w="4720" w:type="pct"/>
            <w:hideMark/>
          </w:tcPr>
          <w:p w:rsidR="009D3A76" w:rsidRDefault="009D3A76">
            <w:pPr>
              <w:pStyle w:val="tx"/>
              <w:spacing w:before="0" w:beforeAutospacing="0" w:after="80" w:afterAutospacing="0"/>
              <w:jc w:val="both"/>
            </w:pPr>
            <w:r>
              <w:rPr>
                <w:rFonts w:ascii="Segoe UI" w:hAnsi="Segoe UI" w:cs="Segoe UI"/>
                <w:color w:val="444444"/>
                <w:sz w:val="20"/>
                <w:szCs w:val="20"/>
              </w:rPr>
              <w:t> </w:t>
            </w:r>
            <w:hyperlink r:id="rId37" w:anchor="rfn6" w:history="1">
              <w:r>
                <w:rPr>
                  <w:rStyle w:val="Hyperlink"/>
                  <w:rFonts w:eastAsiaTheme="majorEastAsia"/>
                  <w:b/>
                  <w:bCs/>
                  <w:color w:val="663399"/>
                </w:rPr>
                <w:t>Period of Holding</w:t>
              </w:r>
            </w:hyperlink>
            <w:r>
              <w:rPr>
                <w:b/>
                <w:bCs/>
              </w:rPr>
              <w:t>  </w:t>
            </w:r>
          </w:p>
        </w:tc>
        <w:tc>
          <w:tcPr>
            <w:tcW w:w="280" w:type="pct"/>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The period of holding shall be determined as follows:</w:t>
      </w:r>
    </w:p>
    <w:tbl>
      <w:tblPr>
        <w:tblW w:w="5000" w:type="pct"/>
        <w:tblCellMar>
          <w:top w:w="60" w:type="dxa"/>
          <w:left w:w="60" w:type="dxa"/>
          <w:bottom w:w="60" w:type="dxa"/>
          <w:right w:w="60" w:type="dxa"/>
        </w:tblCellMar>
        <w:tblLook w:val="04A0" w:firstRow="1" w:lastRow="0" w:firstColumn="1" w:lastColumn="0" w:noHBand="0" w:noVBand="1"/>
      </w:tblPr>
      <w:tblGrid>
        <w:gridCol w:w="3536"/>
        <w:gridCol w:w="5474"/>
      </w:tblGrid>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rPr>
                <w:b/>
                <w:bCs/>
              </w:rPr>
              <w:t>Different situations</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rPr>
                <w:b/>
                <w:bCs/>
              </w:rPr>
              <w:t>How to calculate the period of holding</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Shares held in a company in liquidation</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subsequent to the date on which the company goes into liquidation shall be excluded.</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Capital asset which becomes the property of the assessee in the circumstances mentioned in</w:t>
            </w:r>
            <w:r w:rsidR="00276331">
              <w:t xml:space="preserve"> </w:t>
            </w:r>
            <w:hyperlink r:id="rId38" w:history="1">
              <w:r>
                <w:rPr>
                  <w:rStyle w:val="Hyperlink"/>
                  <w:color w:val="663399"/>
                </w:rPr>
                <w:t>section 49(1)</w:t>
              </w:r>
            </w:hyperlink>
            <w:r>
              <w:rPr>
                <w:rStyle w:val="apple-converted-space"/>
              </w:rPr>
              <w:t> </w:t>
            </w:r>
            <w:r>
              <w:t>read with</w:t>
            </w:r>
            <w:r>
              <w:rPr>
                <w:rStyle w:val="apple-converted-space"/>
              </w:rPr>
              <w:t> </w:t>
            </w:r>
            <w:hyperlink r:id="rId39" w:history="1">
              <w:r>
                <w:rPr>
                  <w:rStyle w:val="Hyperlink"/>
                  <w:color w:val="663399"/>
                </w:rPr>
                <w:t>section 47</w:t>
              </w:r>
            </w:hyperlink>
            <w:r>
              <w:rPr>
                <w:rStyle w:val="apple-converted-space"/>
              </w:rPr>
              <w:t> </w:t>
            </w:r>
            <w:r>
              <w:t>[i.e., when an asset is acquired by gift, will, succession, inheritance or the asset is required at the time of partition of family or under a revocable or irrevocable trust or under amalgamation, etc.]</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for which the asset was held by the previous owner should be included (cost of acquisition in this case shall be computed in the manner provided in</w:t>
            </w:r>
            <w:r>
              <w:rPr>
                <w:rStyle w:val="apple-converted-space"/>
              </w:rPr>
              <w:t> </w:t>
            </w:r>
            <w:r>
              <w:rPr>
                <w:i/>
                <w:iCs/>
              </w:rPr>
              <w:t>Para</w:t>
            </w:r>
            <w:r>
              <w:rPr>
                <w:rStyle w:val="apple-converted-space"/>
              </w:rPr>
              <w:t> </w:t>
            </w:r>
            <w:r>
              <w:t>4.10)</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Allotment of shares in amalgamated Indian company in lieu shares held in amalgamating company</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shall be computed from the date of acquisition of shares in the amalgamating company.</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Right shares</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shall be computed from the date of allotment of right shares.</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Right entitlement</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will be considered from the date of offer to subscribe to shares to the date when such right entitlement is renounced by the person.</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Bonus shares</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shall be computed from the date of allotment of bonus shares.</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lastRenderedPageBreak/>
              <w:t>Issue of shares by the resulting company in a scheme of demerger to the shareholders of the demerged company</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shall be computed from the date of acquisition of shares in the demerged company.</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Membership right held by a member of recognised stock exchange</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In case of shares as well as trading/clearing rights, the period for which the person was a member of the stock exchange immediately prior to such demutualization/corporatization shall be included.</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Flat in a co-operative society</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shall be computed from the date of allotment of shares in the society.</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Sweat equity shares allotted by employer</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shall be reckoned from the date of allotment or transfer of such equity shares (applicable from the assessment year 2008-09)</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Unit of a business trust [allotted pursuant to transfer of shares as referred to in</w:t>
            </w:r>
            <w:r>
              <w:rPr>
                <w:rStyle w:val="apple-converted-space"/>
              </w:rPr>
              <w:t> </w:t>
            </w:r>
            <w:hyperlink r:id="rId40" w:history="1">
              <w:r>
                <w:rPr>
                  <w:rStyle w:val="Hyperlink"/>
                  <w:color w:val="663399"/>
                </w:rPr>
                <w:t>section 47(xvii</w:t>
              </w:r>
            </w:hyperlink>
            <w:r>
              <w:t>)]</w:t>
            </w:r>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shall include the period for which shares were held by the assessee.</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Units allotted to an assessee pursuant to consolidation of two or more scheme of a mutual fund as referred to in</w:t>
            </w:r>
            <w:r>
              <w:rPr>
                <w:rStyle w:val="apple-converted-space"/>
              </w:rPr>
              <w:t> </w:t>
            </w:r>
            <w:hyperlink r:id="rId41" w:history="1">
              <w:r>
                <w:rPr>
                  <w:rStyle w:val="Hyperlink"/>
                  <w:color w:val="663399"/>
                </w:rPr>
                <w:t>Section 47(xviii)</w:t>
              </w:r>
            </w:hyperlink>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of such units shall include the period for which the unit or units in the consolidating scheme of the mutual fund were held by the assessee.</w:t>
            </w:r>
          </w:p>
        </w:tc>
      </w:tr>
      <w:tr w:rsidR="009D3A76" w:rsidTr="00276331">
        <w:tc>
          <w:tcPr>
            <w:tcW w:w="1962"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Shares in a company acquired by the non-resident assessee on redemption of Global Depository Receipts referred to in</w:t>
            </w:r>
            <w:r>
              <w:rPr>
                <w:rStyle w:val="apple-converted-space"/>
              </w:rPr>
              <w:t> </w:t>
            </w:r>
            <w:hyperlink r:id="rId42" w:history="1">
              <w:r>
                <w:rPr>
                  <w:rStyle w:val="Hyperlink"/>
                  <w:color w:val="663399"/>
                </w:rPr>
                <w:t>Section 115AC(1)(b)</w:t>
              </w:r>
            </w:hyperlink>
          </w:p>
        </w:tc>
        <w:tc>
          <w:tcPr>
            <w:tcW w:w="3038"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period of holding of such shares shall be reckoned from the date on which a request for such redemption was made.</w:t>
            </w:r>
          </w:p>
        </w:tc>
      </w:tr>
      <w:tr w:rsidR="009D3A76" w:rsidTr="00276331">
        <w:tc>
          <w:tcPr>
            <w:tcW w:w="1962" w:type="pct"/>
            <w:tcBorders>
              <w:top w:val="single" w:sz="6" w:space="0" w:color="000000"/>
              <w:left w:val="single" w:sz="6" w:space="0" w:color="000000"/>
              <w:bottom w:val="nil"/>
              <w:right w:val="single" w:sz="6" w:space="0" w:color="000000"/>
            </w:tcBorders>
            <w:hideMark/>
          </w:tcPr>
          <w:p w:rsidR="009D3A76" w:rsidRDefault="009D3A76">
            <w:pPr>
              <w:spacing w:after="80"/>
              <w:jc w:val="both"/>
            </w:pPr>
            <w:r>
              <w:t>Transactions in shares and securities not given above:</w:t>
            </w:r>
          </w:p>
        </w:tc>
        <w:tc>
          <w:tcPr>
            <w:tcW w:w="3038" w:type="pct"/>
            <w:tcBorders>
              <w:top w:val="single" w:sz="6" w:space="0" w:color="000000"/>
              <w:left w:val="single" w:sz="6" w:space="0" w:color="000000"/>
              <w:bottom w:val="nil"/>
              <w:right w:val="single" w:sz="6" w:space="0" w:color="000000"/>
            </w:tcBorders>
            <w:hideMark/>
          </w:tcPr>
          <w:p w:rsidR="009D3A76" w:rsidRDefault="009D3A76">
            <w:pPr>
              <w:spacing w:after="80"/>
              <w:jc w:val="both"/>
            </w:pPr>
          </w:p>
        </w:tc>
      </w:tr>
      <w:tr w:rsidR="009D3A76" w:rsidTr="00276331">
        <w:tc>
          <w:tcPr>
            <w:tcW w:w="1962" w:type="pct"/>
            <w:tcBorders>
              <w:top w:val="nil"/>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jc w:val="both"/>
            </w:pPr>
            <w:r>
              <w:t> 1)  Date of purchase (through stock exchanges) of shares and Securities</w:t>
            </w:r>
          </w:p>
          <w:p w:rsidR="009D3A76" w:rsidRDefault="009D3A76">
            <w:pPr>
              <w:pStyle w:val="indent1"/>
              <w:spacing w:before="0" w:beforeAutospacing="0" w:after="80" w:afterAutospacing="0"/>
              <w:ind w:left="567" w:hanging="397"/>
              <w:jc w:val="both"/>
            </w:pPr>
            <w:r>
              <w:t> 2)  Date of transfer (through stock exchanges) of shares and securities</w:t>
            </w:r>
          </w:p>
          <w:p w:rsidR="009D3A76" w:rsidRDefault="009D3A76">
            <w:pPr>
              <w:pStyle w:val="indent1"/>
              <w:spacing w:before="0" w:beforeAutospacing="0" w:after="80" w:afterAutospacing="0"/>
              <w:ind w:left="567" w:hanging="397"/>
              <w:jc w:val="both"/>
            </w:pPr>
            <w:r>
              <w:t xml:space="preserve">3)  Date of purchase/transfer of shares and securities (transaction taken place </w:t>
            </w:r>
            <w:r>
              <w:lastRenderedPageBreak/>
              <w:t>directly between parties and not through stock exchanges)</w:t>
            </w:r>
          </w:p>
          <w:p w:rsidR="009D3A76" w:rsidRDefault="009D3A76">
            <w:pPr>
              <w:pStyle w:val="indent1"/>
              <w:spacing w:before="0" w:beforeAutospacing="0" w:after="80" w:afterAutospacing="0"/>
              <w:ind w:left="567" w:hanging="397"/>
              <w:jc w:val="both"/>
            </w:pPr>
            <w:r>
              <w:t> 4)  Date of purchase/sale of shares and securities purchased in several lots at different points of time but delivery taken subsequently and sold in parts</w:t>
            </w:r>
          </w:p>
          <w:p w:rsidR="009D3A76" w:rsidRDefault="009D3A76">
            <w:pPr>
              <w:pStyle w:val="indent1"/>
              <w:spacing w:before="0" w:beforeAutospacing="0" w:after="80" w:afterAutospacing="0"/>
              <w:ind w:left="567" w:hanging="397"/>
              <w:jc w:val="both"/>
            </w:pPr>
            <w:r>
              <w:t> 5)  Transfer of a security by a depository (i.e., demat account)</w:t>
            </w:r>
          </w:p>
        </w:tc>
        <w:tc>
          <w:tcPr>
            <w:tcW w:w="3038" w:type="pct"/>
            <w:tcBorders>
              <w:top w:val="nil"/>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jc w:val="both"/>
            </w:pPr>
            <w:r>
              <w:lastRenderedPageBreak/>
              <w:t> a)  Date of purchase by broker on behalf of investor.</w:t>
            </w:r>
          </w:p>
          <w:p w:rsidR="009D3A76" w:rsidRDefault="009D3A76">
            <w:pPr>
              <w:pStyle w:val="indent1"/>
              <w:spacing w:before="0" w:beforeAutospacing="0" w:after="80" w:afterAutospacing="0"/>
              <w:ind w:left="567" w:hanging="397"/>
              <w:jc w:val="both"/>
            </w:pPr>
            <w:r>
              <w:t> b)  Date of broker's note provided such transactions are followed up by delivery of shares and also the transfer deeds.</w:t>
            </w:r>
          </w:p>
          <w:p w:rsidR="009D3A76" w:rsidRDefault="009D3A76">
            <w:pPr>
              <w:pStyle w:val="indent1"/>
              <w:spacing w:before="0" w:beforeAutospacing="0" w:after="80" w:afterAutospacing="0"/>
              <w:ind w:left="567" w:hanging="397"/>
              <w:jc w:val="both"/>
            </w:pPr>
            <w:r>
              <w:t> c)  Date of contract of sale as declared by parties provided it is followed up by actual delivery of shares and the transfer deeds.</w:t>
            </w:r>
          </w:p>
          <w:p w:rsidR="009D3A76" w:rsidRDefault="009D3A76">
            <w:pPr>
              <w:pStyle w:val="indent1"/>
              <w:spacing w:before="0" w:beforeAutospacing="0" w:after="80" w:afterAutospacing="0"/>
              <w:ind w:left="567" w:hanging="397"/>
              <w:jc w:val="both"/>
            </w:pPr>
            <w:r>
              <w:t xml:space="preserve"> d)  The FIFO method shall be adopted to reckon the period of the holding of the security, in cases </w:t>
            </w:r>
            <w:r>
              <w:lastRenderedPageBreak/>
              <w:t>where the dates of purchase and sale cannot be correlated through specific number of scrips.</w:t>
            </w:r>
          </w:p>
          <w:p w:rsidR="009D3A76" w:rsidRDefault="009D3A76">
            <w:pPr>
              <w:pStyle w:val="indent1"/>
              <w:spacing w:before="0" w:beforeAutospacing="0" w:after="80" w:afterAutospacing="0"/>
              <w:ind w:left="567" w:hanging="397"/>
              <w:jc w:val="both"/>
            </w:pPr>
            <w:r>
              <w:t> e)  The period of holding shall be determined on the basis of the first-in-first-out method.</w:t>
            </w:r>
          </w:p>
        </w:tc>
      </w:tr>
    </w:tbl>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lastRenderedPageBreak/>
        <w:t> </w:t>
      </w:r>
    </w:p>
    <w:tbl>
      <w:tblPr>
        <w:tblW w:w="19035" w:type="dxa"/>
        <w:tblCellMar>
          <w:top w:w="60" w:type="dxa"/>
          <w:left w:w="60" w:type="dxa"/>
          <w:bottom w:w="60" w:type="dxa"/>
          <w:right w:w="60" w:type="dxa"/>
        </w:tblCellMar>
        <w:tblLook w:val="04A0" w:firstRow="1" w:lastRow="0" w:firstColumn="1" w:lastColumn="0" w:noHBand="0" w:noVBand="1"/>
      </w:tblPr>
      <w:tblGrid>
        <w:gridCol w:w="18442"/>
        <w:gridCol w:w="593"/>
      </w:tblGrid>
      <w:tr w:rsidR="009D3A76" w:rsidTr="009D3A76">
        <w:tc>
          <w:tcPr>
            <w:tcW w:w="0" w:type="auto"/>
            <w:hideMark/>
          </w:tcPr>
          <w:p w:rsidR="009D3A76" w:rsidRDefault="009D3A76">
            <w:pPr>
              <w:pStyle w:val="tx"/>
              <w:spacing w:before="0" w:beforeAutospacing="0" w:after="80" w:afterAutospacing="0"/>
              <w:jc w:val="both"/>
            </w:pPr>
            <w:hyperlink r:id="rId43" w:anchor="rfn7" w:history="1">
              <w:r>
                <w:rPr>
                  <w:rStyle w:val="Hyperlink"/>
                  <w:rFonts w:eastAsiaTheme="majorEastAsia"/>
                  <w:b/>
                  <w:bCs/>
                  <w:color w:val="663399"/>
                </w:rPr>
                <w:t>Meaning of Transfer</w:t>
              </w:r>
              <w:r>
                <w:rPr>
                  <w:rStyle w:val="apple-converted-space"/>
                  <w:b/>
                  <w:bCs/>
                  <w:color w:val="663399"/>
                </w:rPr>
                <w:t> </w:t>
              </w:r>
            </w:hyperlink>
            <w:r>
              <w:rPr>
                <w:b/>
                <w:bCs/>
              </w:rPr>
              <w:t>[</w:t>
            </w:r>
            <w:hyperlink r:id="rId44" w:history="1">
              <w:r>
                <w:rPr>
                  <w:rStyle w:val="Hyperlink"/>
                  <w:rFonts w:eastAsiaTheme="majorEastAsia"/>
                  <w:b/>
                  <w:bCs/>
                  <w:color w:val="663399"/>
                </w:rPr>
                <w:t>Section 2(47)</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"Transfer”, in relation to a capital asset, includes: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(i) Sale, exchange or relinquishment of the asset;</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(ii) Extinguishment of any rights in relation to a capital asset;</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(iii) Compulsory acquisition of an asset;</w:t>
      </w:r>
    </w:p>
    <w:p w:rsidR="009D3A76" w:rsidRDefault="009D3A76" w:rsidP="009D3A76">
      <w:pPr>
        <w:pStyle w:val="indent1"/>
        <w:shd w:val="clear" w:color="auto" w:fill="FFFFFF"/>
        <w:spacing w:before="0" w:beforeAutospacing="0" w:after="80" w:afterAutospacing="0"/>
        <w:ind w:left="567" w:hanging="397"/>
        <w:jc w:val="both"/>
        <w:rPr>
          <w:color w:val="444444"/>
        </w:rPr>
      </w:pPr>
      <w:proofErr w:type="gramStart"/>
      <w:r>
        <w:rPr>
          <w:color w:val="444444"/>
        </w:rPr>
        <w:t>(iv) Conversion</w:t>
      </w:r>
      <w:proofErr w:type="gramEnd"/>
      <w:r>
        <w:rPr>
          <w:color w:val="444444"/>
        </w:rPr>
        <w:t xml:space="preserve"> of capital asset into stock-in-trade;</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(v) Maturity or redemption of a zero coupon bond;</w:t>
      </w:r>
    </w:p>
    <w:p w:rsidR="009D3A76" w:rsidRDefault="009D3A76" w:rsidP="009D3A76">
      <w:pPr>
        <w:pStyle w:val="indent1"/>
        <w:shd w:val="clear" w:color="auto" w:fill="FFFFFF"/>
        <w:spacing w:before="0" w:beforeAutospacing="0" w:after="80" w:afterAutospacing="0"/>
        <w:ind w:left="567" w:hanging="397"/>
        <w:jc w:val="both"/>
        <w:rPr>
          <w:color w:val="444444"/>
        </w:rPr>
      </w:pPr>
      <w:proofErr w:type="gramStart"/>
      <w:r>
        <w:rPr>
          <w:color w:val="444444"/>
        </w:rPr>
        <w:t>(vi) Allowing</w:t>
      </w:r>
      <w:proofErr w:type="gramEnd"/>
      <w:r>
        <w:rPr>
          <w:color w:val="444444"/>
        </w:rPr>
        <w:t xml:space="preserve"> possession of immovable properties to the buyer in part performance of the contract;</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(vii) Any transaction which has the effect of transferring an (or enabling the enjoyment of) immovable property; or</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(viii) Disposing of or parting with an asset or any interest therein or creating any interest in any asset in any manner whatsoever.</w:t>
      </w:r>
    </w:p>
    <w:tbl>
      <w:tblPr>
        <w:tblW w:w="19035" w:type="dxa"/>
        <w:tblCellMar>
          <w:top w:w="60" w:type="dxa"/>
          <w:left w:w="60" w:type="dxa"/>
          <w:bottom w:w="60" w:type="dxa"/>
          <w:right w:w="60" w:type="dxa"/>
        </w:tblCellMar>
        <w:tblLook w:val="04A0" w:firstRow="1" w:lastRow="0" w:firstColumn="1" w:lastColumn="0" w:noHBand="0" w:noVBand="1"/>
      </w:tblPr>
      <w:tblGrid>
        <w:gridCol w:w="18673"/>
        <w:gridCol w:w="362"/>
      </w:tblGrid>
      <w:tr w:rsidR="009D3A76" w:rsidTr="009D3A76">
        <w:tc>
          <w:tcPr>
            <w:tcW w:w="0" w:type="auto"/>
            <w:hideMark/>
          </w:tcPr>
          <w:p w:rsidR="009D3A76" w:rsidRDefault="009D3A76">
            <w:pPr>
              <w:pStyle w:val="tx"/>
              <w:spacing w:before="0" w:beforeAutospacing="0" w:after="80" w:afterAutospacing="0"/>
              <w:jc w:val="both"/>
            </w:pPr>
            <w:r>
              <w:rPr>
                <w:rFonts w:ascii="Segoe UI" w:hAnsi="Segoe UI" w:cs="Segoe UI"/>
                <w:color w:val="444444"/>
                <w:sz w:val="20"/>
                <w:szCs w:val="20"/>
              </w:rPr>
              <w:t> </w:t>
            </w:r>
            <w:hyperlink r:id="rId45" w:anchor="rfn8" w:history="1">
              <w:r>
                <w:rPr>
                  <w:rStyle w:val="Hyperlink"/>
                  <w:rFonts w:eastAsiaTheme="majorEastAsia"/>
                  <w:b/>
                  <w:bCs/>
                  <w:color w:val="663399"/>
                </w:rPr>
                <w:t>Transactions which are not regarded as transfer</w:t>
              </w:r>
            </w:hyperlink>
            <w:r>
              <w:rPr>
                <w:rStyle w:val="apple-converted-space"/>
                <w:b/>
                <w:bCs/>
              </w:rPr>
              <w:t> </w:t>
            </w:r>
            <w:r>
              <w:rPr>
                <w:b/>
                <w:bCs/>
              </w:rPr>
              <w:t>[</w:t>
            </w:r>
            <w:hyperlink r:id="rId46" w:history="1">
              <w:r>
                <w:rPr>
                  <w:rStyle w:val="Hyperlink"/>
                  <w:rFonts w:eastAsiaTheme="majorEastAsia"/>
                  <w:b/>
                  <w:bCs/>
                  <w:color w:val="663399"/>
                </w:rPr>
                <w:t>Section 47</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Following transactions shall not be regarded as transfer (subject to certain condition). Hence, following transaction shall not be charged to capital gains:</w:t>
      </w:r>
    </w:p>
    <w:p w:rsidR="009D3A76" w:rsidRDefault="009D3A76" w:rsidP="009D3A76">
      <w:pPr>
        <w:pStyle w:val="tx"/>
        <w:shd w:val="clear" w:color="auto" w:fill="FFFFFF"/>
        <w:spacing w:before="0" w:beforeAutospacing="0" w:after="80" w:afterAutospacing="0"/>
        <w:jc w:val="both"/>
        <w:rPr>
          <w:color w:val="444444"/>
        </w:rPr>
      </w:pPr>
      <w:r>
        <w:rPr>
          <w:color w:val="444444"/>
        </w:rPr>
        <w:t> </w:t>
      </w:r>
    </w:p>
    <w:tbl>
      <w:tblPr>
        <w:tblW w:w="5000" w:type="pct"/>
        <w:tblCellMar>
          <w:top w:w="60" w:type="dxa"/>
          <w:left w:w="60" w:type="dxa"/>
          <w:bottom w:w="60" w:type="dxa"/>
          <w:right w:w="60" w:type="dxa"/>
        </w:tblCellMar>
        <w:tblLook w:val="04A0" w:firstRow="1" w:lastRow="0" w:firstColumn="1" w:lastColumn="0" w:noHBand="0" w:noVBand="1"/>
      </w:tblPr>
      <w:tblGrid>
        <w:gridCol w:w="947"/>
        <w:gridCol w:w="8063"/>
      </w:tblGrid>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b/>
                <w:bCs/>
              </w:rPr>
              <w:t>Section</w:t>
            </w:r>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Particulars</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47" w:history="1">
              <w:r>
                <w:rPr>
                  <w:rStyle w:val="Hyperlink"/>
                  <w:rFonts w:eastAsiaTheme="majorEastAsia"/>
                  <w:color w:val="663399"/>
                </w:rPr>
                <w:t>46(1)</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Distribution of asset in kind by a company to its shareholders at the time of liquidation</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48" w:history="1">
              <w:r>
                <w:rPr>
                  <w:rStyle w:val="Hyperlink"/>
                  <w:rFonts w:eastAsiaTheme="majorEastAsia"/>
                  <w:color w:val="663399"/>
                </w:rPr>
                <w:t>47(i)</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Distribution of capital asset on total or partial partition of HUF</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49" w:history="1">
              <w:r>
                <w:rPr>
                  <w:rStyle w:val="Hyperlink"/>
                  <w:rFonts w:eastAsiaTheme="majorEastAsia"/>
                  <w:color w:val="663399"/>
                </w:rPr>
                <w:t>47(iii)</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capital asset under a gift or will or an irrevocable trust</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50" w:history="1">
              <w:r>
                <w:rPr>
                  <w:rStyle w:val="Hyperlink"/>
                  <w:rFonts w:eastAsiaTheme="majorEastAsia"/>
                  <w:color w:val="663399"/>
                </w:rPr>
                <w:t>47(vi)</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capital assets in a scheme of amalgamation</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51" w:history="1">
              <w:r>
                <w:rPr>
                  <w:rStyle w:val="Hyperlink"/>
                  <w:rFonts w:eastAsiaTheme="majorEastAsia"/>
                  <w:color w:val="663399"/>
                </w:rPr>
                <w:t>47(</w:t>
              </w:r>
              <w:proofErr w:type="spellStart"/>
              <w:r>
                <w:rPr>
                  <w:rStyle w:val="Hyperlink"/>
                  <w:rFonts w:eastAsiaTheme="majorEastAsia"/>
                  <w:color w:val="663399"/>
                </w:rPr>
                <w:t>vicb</w:t>
              </w:r>
              <w:proofErr w:type="spellEnd"/>
              <w:r>
                <w:rPr>
                  <w:rStyle w:val="Hyperlink"/>
                  <w:rFonts w:eastAsiaTheme="majorEastAsia"/>
                  <w:color w:val="663399"/>
                </w:rPr>
                <w:t>)</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transfer of capital asset (being shares) held by a shareholder in the predecessor co-operative bank if the transfer is made in consideration of the allotment to him of any shares in the successor co-operative bank in a scheme of business reorganization</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52" w:history="1">
              <w:r>
                <w:rPr>
                  <w:rStyle w:val="Hyperlink"/>
                  <w:rFonts w:eastAsiaTheme="majorEastAsia"/>
                  <w:color w:val="663399"/>
                </w:rPr>
                <w:t>47(vid)</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or issue of shares by the resulting company to the shareholders of the demerged company in a scheme of demerger</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53" w:history="1">
              <w:r>
                <w:rPr>
                  <w:rStyle w:val="Hyperlink"/>
                  <w:rFonts w:eastAsiaTheme="majorEastAsia"/>
                  <w:color w:val="663399"/>
                </w:rPr>
                <w:t>47(vii)</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Allotment of shares in amalgamated company in lieu of shares held in amalgamating company</w:t>
            </w:r>
          </w:p>
        </w:tc>
      </w:tr>
      <w:tr w:rsidR="009D3A76" w:rsidTr="00276331">
        <w:tc>
          <w:tcPr>
            <w:tcW w:w="249"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pStyle w:val="tx"/>
              <w:spacing w:before="0" w:beforeAutospacing="0" w:after="80" w:afterAutospacing="0"/>
              <w:jc w:val="both"/>
            </w:pPr>
            <w:hyperlink r:id="rId54" w:history="1">
              <w:r>
                <w:rPr>
                  <w:rStyle w:val="Hyperlink"/>
                  <w:rFonts w:eastAsiaTheme="majorEastAsia"/>
                  <w:color w:val="663399"/>
                </w:rPr>
                <w:t>47(viia)</w:t>
              </w:r>
            </w:hyperlink>
          </w:p>
        </w:tc>
        <w:tc>
          <w:tcPr>
            <w:tcW w:w="4751"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pStyle w:val="tx"/>
              <w:spacing w:before="0" w:beforeAutospacing="0" w:after="80" w:afterAutospacing="0"/>
              <w:jc w:val="both"/>
            </w:pPr>
            <w:r>
              <w:t>Transfer of capital assets (being foreign currency convertible bonds or GDR) by a non-resident to another non-resident</w:t>
            </w:r>
          </w:p>
        </w:tc>
      </w:tr>
      <w:tr w:rsidR="009D3A76" w:rsidTr="00276331">
        <w:tc>
          <w:tcPr>
            <w:tcW w:w="249"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pStyle w:val="tx"/>
              <w:spacing w:before="0" w:beforeAutospacing="0" w:after="80" w:afterAutospacing="0"/>
              <w:jc w:val="both"/>
            </w:pPr>
            <w:hyperlink r:id="rId55" w:history="1">
              <w:r>
                <w:rPr>
                  <w:rStyle w:val="Hyperlink"/>
                  <w:rFonts w:eastAsiaTheme="majorEastAsia"/>
                  <w:color w:val="663399"/>
                </w:rPr>
                <w:t>47(</w:t>
              </w:r>
              <w:proofErr w:type="spellStart"/>
              <w:r>
                <w:rPr>
                  <w:rStyle w:val="Hyperlink"/>
                  <w:rFonts w:eastAsiaTheme="majorEastAsia"/>
                  <w:color w:val="663399"/>
                </w:rPr>
                <w:t>viib</w:t>
              </w:r>
              <w:proofErr w:type="spellEnd"/>
              <w:r>
                <w:rPr>
                  <w:rStyle w:val="Hyperlink"/>
                  <w:rFonts w:eastAsiaTheme="majorEastAsia"/>
                  <w:color w:val="663399"/>
                </w:rPr>
                <w:t>)</w:t>
              </w:r>
            </w:hyperlink>
          </w:p>
        </w:tc>
        <w:tc>
          <w:tcPr>
            <w:tcW w:w="4751"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pStyle w:val="tx"/>
              <w:spacing w:before="0" w:beforeAutospacing="0" w:after="80" w:afterAutospacing="0"/>
              <w:jc w:val="both"/>
            </w:pPr>
            <w:r>
              <w:t>Transfer of capital assets (being a Government security carrying periodic payment of interest) outside India through an intermediary dealing in settlement of securities by a non-resident to another non- resident</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pPr>
            <w:r>
              <w:t>47(</w:t>
            </w:r>
            <w:proofErr w:type="spellStart"/>
            <w:r>
              <w:t>viic</w:t>
            </w:r>
            <w:proofErr w:type="spellEnd"/>
            <w:r>
              <w:t>)</w:t>
            </w:r>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pPr>
            <w:r>
              <w:t>Redemption of capital asset being sovereign gold bond issued by RBI under the Sovereign Gold Bond Scheme, 2015</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56" w:history="1">
              <w:r>
                <w:rPr>
                  <w:rStyle w:val="Hyperlink"/>
                  <w:rFonts w:eastAsiaTheme="majorEastAsia"/>
                  <w:color w:val="663399"/>
                </w:rPr>
                <w:t>47(ix)</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a capital asset (being work of art, manuscript, painting, etc.) to Government, University, National museum, etc.</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57" w:history="1">
              <w:r>
                <w:rPr>
                  <w:rStyle w:val="Hyperlink"/>
                  <w:rFonts w:eastAsiaTheme="majorEastAsia"/>
                  <w:color w:val="663399"/>
                </w:rPr>
                <w:t>47(x)</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by way of conversion of bonds or debentures into shares</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58" w:history="1">
              <w:r>
                <w:rPr>
                  <w:rStyle w:val="Hyperlink"/>
                  <w:rFonts w:eastAsiaTheme="majorEastAsia"/>
                  <w:color w:val="663399"/>
                </w:rPr>
                <w:t>47(</w:t>
              </w:r>
              <w:proofErr w:type="spellStart"/>
              <w:r>
                <w:rPr>
                  <w:rStyle w:val="Hyperlink"/>
                  <w:rFonts w:eastAsiaTheme="majorEastAsia"/>
                  <w:color w:val="663399"/>
                </w:rPr>
                <w:t>xa</w:t>
              </w:r>
              <w:proofErr w:type="spellEnd"/>
              <w:r>
                <w:rPr>
                  <w:rStyle w:val="Hyperlink"/>
                  <w:rFonts w:eastAsiaTheme="majorEastAsia"/>
                  <w:color w:val="663399"/>
                </w:rPr>
                <w:t>)</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by way of conversion of bonds [as referred to in</w:t>
            </w:r>
            <w:r>
              <w:rPr>
                <w:rStyle w:val="apple-converted-space"/>
              </w:rPr>
              <w:t> </w:t>
            </w:r>
            <w:hyperlink r:id="rId59" w:history="1">
              <w:r>
                <w:rPr>
                  <w:rStyle w:val="Hyperlink"/>
                  <w:rFonts w:eastAsiaTheme="majorEastAsia"/>
                  <w:color w:val="663399"/>
                </w:rPr>
                <w:t>section 115AC(1)(a)</w:t>
              </w:r>
            </w:hyperlink>
            <w:r>
              <w:t>] into shares or debentures of any company</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60" w:history="1">
              <w:r>
                <w:rPr>
                  <w:rStyle w:val="Hyperlink"/>
                  <w:rFonts w:eastAsiaTheme="majorEastAsia"/>
                  <w:color w:val="663399"/>
                </w:rPr>
                <w:t>47(xi)</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by way of exchange of a capital asset being membership of a recognized stock exchange for shares of a company</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61" w:history="1">
              <w:r>
                <w:rPr>
                  <w:rStyle w:val="Hyperlink"/>
                  <w:rFonts w:eastAsiaTheme="majorEastAsia"/>
                  <w:color w:val="663399"/>
                </w:rPr>
                <w:t>47(</w:t>
              </w:r>
              <w:proofErr w:type="spellStart"/>
              <w:r>
                <w:rPr>
                  <w:rStyle w:val="Hyperlink"/>
                  <w:rFonts w:eastAsiaTheme="majorEastAsia"/>
                  <w:color w:val="663399"/>
                </w:rPr>
                <w:t>xiiia</w:t>
              </w:r>
              <w:proofErr w:type="spellEnd"/>
              <w:r>
                <w:rPr>
                  <w:rStyle w:val="Hyperlink"/>
                  <w:rFonts w:eastAsiaTheme="majorEastAsia"/>
                  <w:color w:val="663399"/>
                </w:rPr>
                <w:t>)</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a capital asset being a membership right held by a member of a recognized stock exchange in India</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62" w:history="1">
              <w:r>
                <w:rPr>
                  <w:rStyle w:val="Hyperlink"/>
                  <w:rFonts w:eastAsiaTheme="majorEastAsia"/>
                  <w:color w:val="663399"/>
                </w:rPr>
                <w:t>47(xiv)</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a capital asset to a company in the case of conversion of proprietary concern into a company</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63" w:history="1">
              <w:r>
                <w:rPr>
                  <w:rStyle w:val="Hyperlink"/>
                  <w:rFonts w:eastAsiaTheme="majorEastAsia"/>
                  <w:color w:val="663399"/>
                </w:rPr>
                <w:t>47(xv)</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involved in a scheme of lending of securities</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64" w:history="1">
              <w:r>
                <w:rPr>
                  <w:rStyle w:val="Hyperlink"/>
                  <w:rFonts w:eastAsiaTheme="majorEastAsia"/>
                  <w:color w:val="663399"/>
                </w:rPr>
                <w:t>47(xvi)</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a capital asset in a transaction of reverse mortgage made under a scheme notified by the Government</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65" w:history="1">
              <w:r>
                <w:rPr>
                  <w:rStyle w:val="Hyperlink"/>
                  <w:rFonts w:eastAsiaTheme="majorEastAsia"/>
                  <w:color w:val="663399"/>
                </w:rPr>
                <w:t>47(xvii)</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a capital asset (being share of a special purpose vehicle) to a business trust in exchange of units allotted by that trust to the transferor</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pPr>
            <w:r>
              <w:t>47(xviii)</w:t>
            </w:r>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pPr>
            <w:r>
              <w:t>Transfer of units of a mutual fund pursuant to consolidation of two or more schemes of equity oriented mutual fund or of two or more schemes of a mutual fund other than equity oriented mutual fund</w:t>
            </w:r>
          </w:p>
        </w:tc>
      </w:tr>
      <w:tr w:rsidR="009D3A76" w:rsidTr="00276331">
        <w:tc>
          <w:tcPr>
            <w:tcW w:w="249"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pPr>
            <w:hyperlink r:id="rId66" w:history="1">
              <w:r>
                <w:rPr>
                  <w:rStyle w:val="Hyperlink"/>
                  <w:color w:val="663399"/>
                </w:rPr>
                <w:t>47(xix)</w:t>
              </w:r>
            </w:hyperlink>
          </w:p>
        </w:tc>
        <w:tc>
          <w:tcPr>
            <w:tcW w:w="4751"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pPr>
            <w:r>
              <w:t>Transfer of units of a mutual fund from one plan to another pursuant to consolidation of plans within scheme of mutual funds.</w:t>
            </w:r>
          </w:p>
        </w:tc>
      </w:tr>
    </w:tbl>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327"/>
        <w:gridCol w:w="708"/>
      </w:tblGrid>
      <w:tr w:rsidR="009D3A76" w:rsidTr="009D3A76">
        <w:tc>
          <w:tcPr>
            <w:tcW w:w="0" w:type="auto"/>
            <w:hideMark/>
          </w:tcPr>
          <w:p w:rsidR="009D3A76" w:rsidRDefault="009D3A76">
            <w:pPr>
              <w:pStyle w:val="tx"/>
              <w:spacing w:before="0" w:beforeAutospacing="0" w:after="80" w:afterAutospacing="0"/>
              <w:jc w:val="both"/>
            </w:pPr>
            <w:hyperlink r:id="rId67" w:anchor="rfn9" w:history="1">
              <w:r>
                <w:rPr>
                  <w:rStyle w:val="Hyperlink"/>
                  <w:rFonts w:eastAsiaTheme="majorEastAsia"/>
                  <w:b/>
                  <w:bCs/>
                  <w:color w:val="663399"/>
                </w:rPr>
                <w:t>Computation of capital Gain:</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Computation of capital gain depends upon the nature of the capital asset transferred during the previous year,</w:t>
      </w:r>
      <w:r>
        <w:rPr>
          <w:rStyle w:val="apple-converted-space"/>
          <w:color w:val="444444"/>
        </w:rPr>
        <w:t> </w:t>
      </w:r>
      <w:r>
        <w:rPr>
          <w:i/>
          <w:iCs/>
          <w:color w:val="444444"/>
        </w:rPr>
        <w:t>vis-à-vis</w:t>
      </w:r>
      <w:r>
        <w:rPr>
          <w:color w:val="444444"/>
        </w:rPr>
        <w:t>, short-term capital asset, long-term capital asset or depreciable asset. Capital gain arising on transfer of short-term capital asset or depreciable asset is considered as short-term capital gain, whereas transfer of long-term capital asset gives rise to long-term capital gain.</w:t>
      </w:r>
    </w:p>
    <w:p w:rsidR="009D3A76" w:rsidRDefault="009D3A76" w:rsidP="009D3A76">
      <w:pPr>
        <w:pStyle w:val="tx"/>
        <w:shd w:val="clear" w:color="auto" w:fill="FFFFFF"/>
        <w:spacing w:before="0" w:beforeAutospacing="0" w:after="80" w:afterAutospacing="0"/>
        <w:jc w:val="both"/>
        <w:rPr>
          <w:color w:val="444444"/>
        </w:rPr>
      </w:pPr>
      <w:r>
        <w:rPr>
          <w:color w:val="444444"/>
        </w:rPr>
        <w:t>The capital gains on transfer of capital asset shall be computed in the following manner:</w:t>
      </w:r>
    </w:p>
    <w:tbl>
      <w:tblPr>
        <w:tblW w:w="5000" w:type="pct"/>
        <w:tblCellMar>
          <w:top w:w="60" w:type="dxa"/>
          <w:left w:w="60" w:type="dxa"/>
          <w:bottom w:w="60" w:type="dxa"/>
          <w:right w:w="60" w:type="dxa"/>
        </w:tblCellMar>
        <w:tblLook w:val="04A0" w:firstRow="1" w:lastRow="0" w:firstColumn="1" w:lastColumn="0" w:noHBand="0" w:noVBand="1"/>
      </w:tblPr>
      <w:tblGrid>
        <w:gridCol w:w="3024"/>
        <w:gridCol w:w="3024"/>
        <w:gridCol w:w="2962"/>
      </w:tblGrid>
      <w:tr w:rsidR="009D3A76" w:rsidTr="00276331">
        <w:tc>
          <w:tcPr>
            <w:tcW w:w="167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Short-term capital assets</w:t>
            </w:r>
          </w:p>
          <w:p w:rsidR="009D3A76" w:rsidRDefault="009D3A76">
            <w:pPr>
              <w:pStyle w:val="tx"/>
              <w:spacing w:before="0" w:beforeAutospacing="0" w:after="80" w:afterAutospacing="0"/>
              <w:jc w:val="center"/>
            </w:pPr>
            <w:r>
              <w:rPr>
                <w:b/>
                <w:bCs/>
              </w:rPr>
              <w:t>[</w:t>
            </w:r>
            <w:hyperlink r:id="rId68" w:history="1">
              <w:r>
                <w:rPr>
                  <w:rStyle w:val="Hyperlink"/>
                  <w:rFonts w:eastAsiaTheme="majorEastAsia"/>
                  <w:b/>
                  <w:bCs/>
                  <w:color w:val="663399"/>
                </w:rPr>
                <w:t>Section 48</w:t>
              </w:r>
            </w:hyperlink>
            <w:r>
              <w:rPr>
                <w:b/>
                <w:bCs/>
              </w:rPr>
              <w:t>]</w:t>
            </w:r>
          </w:p>
        </w:tc>
        <w:tc>
          <w:tcPr>
            <w:tcW w:w="167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Long-term capital assets</w:t>
            </w:r>
          </w:p>
          <w:p w:rsidR="009D3A76" w:rsidRDefault="009D3A76">
            <w:pPr>
              <w:pStyle w:val="tx"/>
              <w:spacing w:before="0" w:beforeAutospacing="0" w:after="80" w:afterAutospacing="0"/>
              <w:jc w:val="center"/>
            </w:pPr>
            <w:r>
              <w:rPr>
                <w:b/>
                <w:bCs/>
              </w:rPr>
              <w:t>[</w:t>
            </w:r>
            <w:hyperlink r:id="rId69" w:history="1">
              <w:r>
                <w:rPr>
                  <w:rStyle w:val="Hyperlink"/>
                  <w:rFonts w:eastAsiaTheme="majorEastAsia"/>
                  <w:b/>
                  <w:bCs/>
                  <w:color w:val="663399"/>
                </w:rPr>
                <w:t>Section 48</w:t>
              </w:r>
            </w:hyperlink>
            <w:r>
              <w:rPr>
                <w:b/>
                <w:bCs/>
              </w:rPr>
              <w:t>]</w:t>
            </w:r>
          </w:p>
        </w:tc>
        <w:tc>
          <w:tcPr>
            <w:tcW w:w="16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Depreciable asset</w:t>
            </w:r>
          </w:p>
          <w:p w:rsidR="009D3A76" w:rsidRDefault="009D3A76">
            <w:pPr>
              <w:pStyle w:val="tx"/>
              <w:spacing w:before="0" w:beforeAutospacing="0" w:after="80" w:afterAutospacing="0"/>
              <w:jc w:val="center"/>
            </w:pPr>
            <w:r>
              <w:rPr>
                <w:b/>
                <w:bCs/>
              </w:rPr>
              <w:t>[</w:t>
            </w:r>
            <w:hyperlink r:id="rId70" w:history="1">
              <w:r>
                <w:rPr>
                  <w:rStyle w:val="Hyperlink"/>
                  <w:rFonts w:eastAsiaTheme="majorEastAsia"/>
                  <w:b/>
                  <w:bCs/>
                  <w:color w:val="663399"/>
                </w:rPr>
                <w:t>Section 50</w:t>
              </w:r>
            </w:hyperlink>
            <w:r>
              <w:rPr>
                <w:b/>
                <w:bCs/>
              </w:rPr>
              <w:t>]*</w:t>
            </w:r>
          </w:p>
        </w:tc>
      </w:tr>
      <w:tr w:rsidR="009D3A76" w:rsidTr="00276331">
        <w:tc>
          <w:tcPr>
            <w:tcW w:w="167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Full value of consideration</w:t>
            </w:r>
          </w:p>
          <w:p w:rsidR="009D3A76" w:rsidRDefault="009D3A76">
            <w:pPr>
              <w:pStyle w:val="tx"/>
              <w:spacing w:before="0" w:beforeAutospacing="0" w:after="80" w:afterAutospacing="0"/>
              <w:jc w:val="both"/>
            </w:pPr>
            <w:r>
              <w:rPr>
                <w:i/>
                <w:iCs/>
              </w:rPr>
              <w:t>Less:</w:t>
            </w:r>
            <w:r>
              <w:rPr>
                <w:rStyle w:val="apple-converted-space"/>
              </w:rPr>
              <w:t> </w:t>
            </w:r>
            <w:r>
              <w:t>Cost of acquisition of asset</w:t>
            </w:r>
          </w:p>
          <w:p w:rsidR="009D3A76" w:rsidRDefault="009D3A76">
            <w:pPr>
              <w:pStyle w:val="tx"/>
              <w:spacing w:before="0" w:beforeAutospacing="0" w:after="80" w:afterAutospacing="0"/>
              <w:jc w:val="both"/>
            </w:pPr>
            <w:r>
              <w:rPr>
                <w:i/>
                <w:iCs/>
              </w:rPr>
              <w:t>Less:</w:t>
            </w:r>
            <w:r>
              <w:rPr>
                <w:rStyle w:val="apple-converted-space"/>
              </w:rPr>
              <w:t> </w:t>
            </w:r>
            <w:r>
              <w:t>Cost of improvement</w:t>
            </w:r>
          </w:p>
          <w:p w:rsidR="009D3A76" w:rsidRDefault="009D3A76">
            <w:pPr>
              <w:pStyle w:val="tx"/>
              <w:spacing w:before="0" w:beforeAutospacing="0" w:after="80" w:afterAutospacing="0"/>
              <w:jc w:val="both"/>
            </w:pPr>
            <w:r>
              <w:rPr>
                <w:i/>
                <w:iCs/>
              </w:rPr>
              <w:t>Less:</w:t>
            </w:r>
            <w:r>
              <w:rPr>
                <w:rStyle w:val="apple-converted-space"/>
              </w:rPr>
              <w:t> </w:t>
            </w:r>
            <w:r>
              <w:t>Expenditure incurred wholly and exclusively in connection with such transfer</w:t>
            </w:r>
          </w:p>
        </w:tc>
        <w:tc>
          <w:tcPr>
            <w:tcW w:w="167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Full value of consideration</w:t>
            </w:r>
          </w:p>
          <w:p w:rsidR="009D3A76" w:rsidRDefault="009D3A76">
            <w:pPr>
              <w:pStyle w:val="tx"/>
              <w:spacing w:before="0" w:beforeAutospacing="0" w:after="80" w:afterAutospacing="0"/>
              <w:jc w:val="both"/>
            </w:pPr>
            <w:r>
              <w:rPr>
                <w:i/>
                <w:iCs/>
              </w:rPr>
              <w:t>Less:</w:t>
            </w:r>
            <w:r>
              <w:rPr>
                <w:rStyle w:val="apple-converted-space"/>
              </w:rPr>
              <w:t> </w:t>
            </w:r>
            <w:r>
              <w:t>Indexed Cost of acquisition (</w:t>
            </w:r>
            <w:r>
              <w:rPr>
                <w:i/>
                <w:iCs/>
              </w:rPr>
              <w:t>See Note 1</w:t>
            </w:r>
            <w:r>
              <w:t>)</w:t>
            </w:r>
          </w:p>
          <w:p w:rsidR="009D3A76" w:rsidRDefault="009D3A76">
            <w:pPr>
              <w:pStyle w:val="tx"/>
              <w:spacing w:before="0" w:beforeAutospacing="0" w:after="80" w:afterAutospacing="0"/>
              <w:jc w:val="both"/>
            </w:pPr>
            <w:r>
              <w:rPr>
                <w:i/>
                <w:iCs/>
              </w:rPr>
              <w:t>Less:</w:t>
            </w:r>
            <w:r>
              <w:rPr>
                <w:rStyle w:val="apple-converted-space"/>
              </w:rPr>
              <w:t> </w:t>
            </w:r>
            <w:r>
              <w:t>Indexed Cost of Improvement (</w:t>
            </w:r>
            <w:r>
              <w:rPr>
                <w:i/>
                <w:iCs/>
              </w:rPr>
              <w:t>See Note 1</w:t>
            </w:r>
            <w:r>
              <w:t>)</w:t>
            </w:r>
          </w:p>
          <w:p w:rsidR="009D3A76" w:rsidRDefault="009D3A76">
            <w:pPr>
              <w:pStyle w:val="tx"/>
              <w:spacing w:before="0" w:beforeAutospacing="0" w:after="80" w:afterAutospacing="0"/>
              <w:jc w:val="both"/>
            </w:pPr>
            <w:r>
              <w:rPr>
                <w:i/>
                <w:iCs/>
              </w:rPr>
              <w:t>Less:</w:t>
            </w:r>
            <w:r>
              <w:rPr>
                <w:rStyle w:val="apple-converted-space"/>
              </w:rPr>
              <w:t> </w:t>
            </w:r>
            <w:r>
              <w:t>Expenditure incurred wholly and exclusively in connection with such transfer</w:t>
            </w:r>
          </w:p>
        </w:tc>
        <w:tc>
          <w:tcPr>
            <w:tcW w:w="16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WDV of block of asset at the beginning of previous year</w:t>
            </w:r>
          </w:p>
          <w:p w:rsidR="009D3A76" w:rsidRDefault="009D3A76">
            <w:pPr>
              <w:pStyle w:val="tx"/>
              <w:spacing w:before="0" w:beforeAutospacing="0" w:after="80" w:afterAutospacing="0"/>
              <w:jc w:val="both"/>
            </w:pPr>
            <w:r>
              <w:rPr>
                <w:i/>
                <w:iCs/>
              </w:rPr>
              <w:t>Add:</w:t>
            </w:r>
            <w:r>
              <w:rPr>
                <w:rStyle w:val="apple-converted-space"/>
              </w:rPr>
              <w:t> </w:t>
            </w:r>
            <w:r>
              <w:t>Actual cost of assets falling within that block acquired during the year</w:t>
            </w:r>
          </w:p>
          <w:p w:rsidR="009D3A76" w:rsidRDefault="009D3A76">
            <w:pPr>
              <w:pStyle w:val="tx"/>
              <w:spacing w:before="0" w:beforeAutospacing="0" w:after="80" w:afterAutospacing="0"/>
              <w:jc w:val="both"/>
            </w:pPr>
            <w:r>
              <w:rPr>
                <w:i/>
                <w:iCs/>
              </w:rPr>
              <w:t>Less:</w:t>
            </w:r>
            <w:r>
              <w:rPr>
                <w:rStyle w:val="apple-converted-space"/>
              </w:rPr>
              <w:t> </w:t>
            </w:r>
            <w:r>
              <w:t>Full value of consideration of assets transferred during the year</w:t>
            </w:r>
          </w:p>
          <w:p w:rsidR="009D3A76" w:rsidRDefault="009D3A76">
            <w:pPr>
              <w:pStyle w:val="tx"/>
              <w:spacing w:before="0" w:beforeAutospacing="0" w:after="80" w:afterAutospacing="0"/>
              <w:jc w:val="both"/>
            </w:pPr>
            <w:r>
              <w:t>Less: Expenditure incurred wholly and exclusively in connection with such transfer</w:t>
            </w:r>
          </w:p>
        </w:tc>
      </w:tr>
    </w:tbl>
    <w:p w:rsidR="009D3A76" w:rsidRDefault="009D3A76" w:rsidP="009D3A76">
      <w:pPr>
        <w:pStyle w:val="tx"/>
        <w:shd w:val="clear" w:color="auto" w:fill="FFFFFF"/>
        <w:spacing w:before="0" w:beforeAutospacing="0" w:after="80" w:afterAutospacing="0"/>
        <w:jc w:val="both"/>
        <w:rPr>
          <w:color w:val="444444"/>
        </w:rPr>
      </w:pPr>
      <w:r>
        <w:rPr>
          <w:color w:val="444444"/>
        </w:rPr>
        <w:t>* Short-term capital gain or loss from sale of depreciable asset will arise only in the following two situations: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When on last day of the previous year, WDV of the block of asset is</w:t>
      </w:r>
      <w:r>
        <w:rPr>
          <w:rStyle w:val="apple-converted-space"/>
          <w:color w:val="444444"/>
        </w:rPr>
        <w:t> </w:t>
      </w:r>
      <w:r>
        <w:rPr>
          <w:i/>
          <w:iCs/>
          <w:color w:val="444444"/>
        </w:rPr>
        <w:t>nil</w:t>
      </w:r>
      <w:r>
        <w:rPr>
          <w:color w:val="444444"/>
        </w:rPr>
        <w:t>; or</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lastRenderedPageBreak/>
        <w:t>b) When on last day of the previous year, block ceases to exist.</w:t>
      </w:r>
    </w:p>
    <w:p w:rsidR="009D3A76" w:rsidRDefault="009D3A76" w:rsidP="009D3A76">
      <w:pPr>
        <w:pStyle w:val="tx"/>
        <w:shd w:val="clear" w:color="auto" w:fill="FFFFFF"/>
        <w:spacing w:before="0" w:beforeAutospacing="0" w:after="80" w:afterAutospacing="0"/>
        <w:jc w:val="both"/>
        <w:rPr>
          <w:color w:val="444444"/>
        </w:rPr>
      </w:pPr>
      <w:r>
        <w:rPr>
          <w:b/>
          <w:bCs/>
          <w:i/>
          <w:iCs/>
          <w:color w:val="444444"/>
        </w:rPr>
        <w:t>Note 1</w:t>
      </w:r>
      <w:r>
        <w:rPr>
          <w:color w:val="444444"/>
        </w:rPr>
        <w:t>:</w:t>
      </w:r>
      <w:r>
        <w:rPr>
          <w:rStyle w:val="apple-converted-space"/>
          <w:color w:val="444444"/>
        </w:rPr>
        <w:t> </w:t>
      </w:r>
      <w:r>
        <w:rPr>
          <w:b/>
          <w:bCs/>
          <w:color w:val="444444"/>
        </w:rPr>
        <w:t>Indexed Cost of Acquisition and Improvement [Second Proviso to</w:t>
      </w:r>
      <w:r>
        <w:rPr>
          <w:rStyle w:val="apple-converted-space"/>
          <w:b/>
          <w:bCs/>
          <w:color w:val="444444"/>
        </w:rPr>
        <w:t> </w:t>
      </w:r>
      <w:hyperlink r:id="rId71" w:history="1">
        <w:r>
          <w:rPr>
            <w:rStyle w:val="Hyperlink"/>
            <w:rFonts w:eastAsiaTheme="majorEastAsia"/>
            <w:b/>
            <w:bCs/>
            <w:color w:val="663399"/>
          </w:rPr>
          <w:t>Section 48]</w:t>
        </w:r>
      </w:hyperlink>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In case of transfer of long-term capital assets, indexed cost of acquisition and indexed cost of improvement shall be deducted from the full value of consideration;</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Indexed cost of acquisition and Indexed cost of improvement shall be computed with reference to Cost Inflation Index (‘CII’) in the following manner:</w:t>
      </w:r>
    </w:p>
    <w:p w:rsidR="00BB1A02" w:rsidRDefault="00BB1A02" w:rsidP="009D3A76">
      <w:pPr>
        <w:pStyle w:val="indent1"/>
        <w:shd w:val="clear" w:color="auto" w:fill="FFFFFF"/>
        <w:spacing w:before="0" w:beforeAutospacing="0" w:after="80" w:afterAutospacing="0"/>
        <w:ind w:left="567" w:hanging="397"/>
        <w:jc w:val="both"/>
        <w:rPr>
          <w:color w:val="44444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37"/>
        <w:gridCol w:w="5979"/>
      </w:tblGrid>
      <w:tr w:rsidR="00276331" w:rsidTr="00276331">
        <w:tc>
          <w:tcPr>
            <w:tcW w:w="1649" w:type="pct"/>
            <w:vMerge w:val="restart"/>
            <w:vAlign w:val="center"/>
            <w:hideMark/>
          </w:tcPr>
          <w:p w:rsidR="00276331" w:rsidRDefault="00276331">
            <w:pPr>
              <w:spacing w:after="80"/>
              <w:jc w:val="both"/>
            </w:pPr>
            <w:r>
              <w:rPr>
                <w:b/>
                <w:bCs/>
              </w:rPr>
              <w:t>Indexed Cost of Acquisition =</w:t>
            </w:r>
          </w:p>
        </w:tc>
        <w:tc>
          <w:tcPr>
            <w:tcW w:w="3247" w:type="pct"/>
            <w:hideMark/>
          </w:tcPr>
          <w:p w:rsidR="00276331" w:rsidRDefault="00276331">
            <w:pPr>
              <w:spacing w:after="80"/>
              <w:jc w:val="both"/>
            </w:pPr>
            <w:r>
              <w:rPr>
                <w:b/>
                <w:bCs/>
              </w:rPr>
              <w:t>[(Cost of Acquisition) × (CII for the year of transfer)]</w:t>
            </w:r>
          </w:p>
        </w:tc>
      </w:tr>
      <w:tr w:rsidR="00276331" w:rsidTr="00276331">
        <w:tc>
          <w:tcPr>
            <w:tcW w:w="1649" w:type="pct"/>
            <w:vMerge/>
            <w:hideMark/>
          </w:tcPr>
          <w:p w:rsidR="00276331" w:rsidRDefault="00276331">
            <w:pPr>
              <w:spacing w:after="80"/>
              <w:jc w:val="both"/>
              <w:rPr>
                <w:sz w:val="24"/>
                <w:szCs w:val="24"/>
              </w:rPr>
            </w:pPr>
          </w:p>
        </w:tc>
        <w:tc>
          <w:tcPr>
            <w:tcW w:w="3247" w:type="pct"/>
            <w:hideMark/>
          </w:tcPr>
          <w:p w:rsidR="00276331" w:rsidRDefault="00276331">
            <w:pPr>
              <w:spacing w:after="80"/>
              <w:jc w:val="both"/>
            </w:pPr>
            <w:r>
              <w:rPr>
                <w:b/>
                <w:bCs/>
              </w:rPr>
              <w:t>(CII for the year of acquisition or for the Financial Year 1981-82, whichever is later)</w:t>
            </w:r>
          </w:p>
        </w:tc>
      </w:tr>
    </w:tbl>
    <w:tbl>
      <w:tblPr>
        <w:tblpPr w:leftFromText="180" w:rightFromText="180" w:vertAnchor="text" w:horzAnchor="margin" w:tblpY="24"/>
        <w:tblW w:w="5099" w:type="pct"/>
        <w:tblCellMar>
          <w:top w:w="60" w:type="dxa"/>
          <w:left w:w="60" w:type="dxa"/>
          <w:bottom w:w="60" w:type="dxa"/>
          <w:right w:w="60" w:type="dxa"/>
        </w:tblCellMar>
        <w:tblLook w:val="04A0" w:firstRow="1" w:lastRow="0" w:firstColumn="1" w:lastColumn="0" w:noHBand="0" w:noVBand="1"/>
      </w:tblPr>
      <w:tblGrid>
        <w:gridCol w:w="2971"/>
        <w:gridCol w:w="6039"/>
        <w:gridCol w:w="190"/>
      </w:tblGrid>
      <w:tr w:rsidR="00276331" w:rsidTr="00276331">
        <w:trPr>
          <w:trHeight w:val="405"/>
        </w:trPr>
        <w:tc>
          <w:tcPr>
            <w:tcW w:w="1615" w:type="pct"/>
            <w:vMerge w:val="restart"/>
            <w:tcBorders>
              <w:top w:val="single" w:sz="4" w:space="0" w:color="auto"/>
              <w:left w:val="single" w:sz="4" w:space="0" w:color="auto"/>
              <w:bottom w:val="single" w:sz="4" w:space="0" w:color="auto"/>
              <w:right w:val="single" w:sz="4" w:space="0" w:color="auto"/>
            </w:tcBorders>
            <w:vAlign w:val="center"/>
            <w:hideMark/>
          </w:tcPr>
          <w:p w:rsidR="00276331" w:rsidRDefault="00276331" w:rsidP="00276331">
            <w:pPr>
              <w:spacing w:after="80"/>
              <w:jc w:val="both"/>
            </w:pPr>
            <w:r>
              <w:rPr>
                <w:b/>
                <w:bCs/>
              </w:rPr>
              <w:t>Indexed Cost of Improvement =</w:t>
            </w:r>
          </w:p>
        </w:tc>
        <w:tc>
          <w:tcPr>
            <w:tcW w:w="3282" w:type="pct"/>
            <w:tcBorders>
              <w:top w:val="single" w:sz="4" w:space="0" w:color="auto"/>
              <w:left w:val="single" w:sz="4" w:space="0" w:color="auto"/>
              <w:bottom w:val="single" w:sz="4" w:space="0" w:color="auto"/>
              <w:right w:val="single" w:sz="4" w:space="0" w:color="auto"/>
            </w:tcBorders>
            <w:hideMark/>
          </w:tcPr>
          <w:p w:rsidR="00276331" w:rsidRDefault="00276331" w:rsidP="00276331">
            <w:pPr>
              <w:spacing w:after="80"/>
              <w:jc w:val="both"/>
            </w:pPr>
            <w:r>
              <w:rPr>
                <w:b/>
                <w:bCs/>
              </w:rPr>
              <w:t>[(Cost of Improvement) × (CII for the year of transfer)]</w:t>
            </w:r>
          </w:p>
        </w:tc>
        <w:tc>
          <w:tcPr>
            <w:tcW w:w="103" w:type="pct"/>
            <w:tcBorders>
              <w:left w:val="single" w:sz="4" w:space="0" w:color="auto"/>
            </w:tcBorders>
            <w:hideMark/>
          </w:tcPr>
          <w:p w:rsidR="00276331" w:rsidRDefault="00276331" w:rsidP="00276331">
            <w:pPr>
              <w:spacing w:after="80"/>
              <w:jc w:val="both"/>
            </w:pPr>
            <w:r>
              <w:t> </w:t>
            </w:r>
          </w:p>
        </w:tc>
      </w:tr>
      <w:tr w:rsidR="00276331" w:rsidTr="00276331">
        <w:trPr>
          <w:trHeight w:val="420"/>
        </w:trPr>
        <w:tc>
          <w:tcPr>
            <w:tcW w:w="1615" w:type="pct"/>
            <w:vMerge/>
            <w:tcBorders>
              <w:top w:val="single" w:sz="4" w:space="0" w:color="auto"/>
              <w:left w:val="single" w:sz="4" w:space="0" w:color="auto"/>
              <w:bottom w:val="single" w:sz="4" w:space="0" w:color="auto"/>
              <w:right w:val="single" w:sz="4" w:space="0" w:color="auto"/>
            </w:tcBorders>
            <w:hideMark/>
          </w:tcPr>
          <w:p w:rsidR="00276331" w:rsidRDefault="00276331" w:rsidP="00276331">
            <w:pPr>
              <w:spacing w:after="80"/>
              <w:jc w:val="both"/>
              <w:rPr>
                <w:sz w:val="24"/>
                <w:szCs w:val="24"/>
              </w:rPr>
            </w:pPr>
          </w:p>
        </w:tc>
        <w:tc>
          <w:tcPr>
            <w:tcW w:w="3282" w:type="pct"/>
            <w:tcBorders>
              <w:top w:val="single" w:sz="4" w:space="0" w:color="auto"/>
              <w:left w:val="single" w:sz="4" w:space="0" w:color="auto"/>
              <w:bottom w:val="single" w:sz="4" w:space="0" w:color="auto"/>
              <w:right w:val="single" w:sz="4" w:space="0" w:color="auto"/>
            </w:tcBorders>
            <w:hideMark/>
          </w:tcPr>
          <w:p w:rsidR="00276331" w:rsidRDefault="00276331" w:rsidP="00276331">
            <w:pPr>
              <w:spacing w:after="80"/>
              <w:jc w:val="both"/>
            </w:pPr>
            <w:r>
              <w:rPr>
                <w:b/>
                <w:bCs/>
              </w:rPr>
              <w:t>CII for the year of Improvement</w:t>
            </w:r>
          </w:p>
        </w:tc>
        <w:tc>
          <w:tcPr>
            <w:tcW w:w="103" w:type="pct"/>
            <w:tcBorders>
              <w:left w:val="single" w:sz="4" w:space="0" w:color="auto"/>
            </w:tcBorders>
            <w:hideMark/>
          </w:tcPr>
          <w:p w:rsidR="00276331" w:rsidRDefault="00276331" w:rsidP="00276331">
            <w:pPr>
              <w:spacing w:after="80"/>
              <w:jc w:val="both"/>
            </w:pPr>
            <w:r>
              <w:t> </w:t>
            </w:r>
          </w:p>
        </w:tc>
      </w:tr>
    </w:tbl>
    <w:p w:rsidR="009D3A76" w:rsidRDefault="009D3A76" w:rsidP="009D3A76">
      <w:pPr>
        <w:pStyle w:val="tx"/>
        <w:shd w:val="clear" w:color="auto" w:fill="FFFFFF"/>
        <w:spacing w:before="0" w:beforeAutospacing="0" w:after="80" w:afterAutospacing="0"/>
        <w:jc w:val="both"/>
        <w:rPr>
          <w:color w:val="444444"/>
        </w:rPr>
      </w:pPr>
      <w:r>
        <w:rPr>
          <w:color w:val="444444"/>
        </w:rPr>
        <w:t>   </w:t>
      </w:r>
    </w:p>
    <w:p w:rsidR="009D3A76" w:rsidRDefault="009D3A76" w:rsidP="009D3A76">
      <w:pPr>
        <w:pStyle w:val="tx"/>
        <w:shd w:val="clear" w:color="auto" w:fill="FFFFFF"/>
        <w:spacing w:before="0" w:beforeAutospacing="0" w:after="80" w:afterAutospacing="0"/>
        <w:jc w:val="both"/>
        <w:rPr>
          <w:color w:val="444444"/>
        </w:rPr>
      </w:pPr>
      <w:r>
        <w:rPr>
          <w:color w:val="444444"/>
        </w:rPr>
        <w:t>However, there are some cases where benefit of indexation is not available, which are as under:</w:t>
      </w:r>
    </w:p>
    <w:tbl>
      <w:tblPr>
        <w:tblW w:w="5000" w:type="pct"/>
        <w:tblCellMar>
          <w:top w:w="60" w:type="dxa"/>
          <w:left w:w="60" w:type="dxa"/>
          <w:bottom w:w="60" w:type="dxa"/>
          <w:right w:w="60" w:type="dxa"/>
        </w:tblCellMar>
        <w:tblLook w:val="04A0" w:firstRow="1" w:lastRow="0" w:firstColumn="1" w:lastColumn="0" w:noHBand="0" w:noVBand="1"/>
      </w:tblPr>
      <w:tblGrid>
        <w:gridCol w:w="1171"/>
        <w:gridCol w:w="6498"/>
        <w:gridCol w:w="1341"/>
      </w:tblGrid>
      <w:tr w:rsidR="009D3A76" w:rsidTr="00DB632C">
        <w:tc>
          <w:tcPr>
            <w:tcW w:w="65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b/>
                <w:bCs/>
                <w:i/>
                <w:iCs/>
              </w:rPr>
              <w:t>Section</w:t>
            </w:r>
          </w:p>
        </w:tc>
        <w:tc>
          <w:tcPr>
            <w:tcW w:w="360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i/>
                <w:iCs/>
              </w:rPr>
              <w:t>Capital Asset</w:t>
            </w:r>
          </w:p>
        </w:tc>
        <w:tc>
          <w:tcPr>
            <w:tcW w:w="74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b/>
                <w:bCs/>
                <w:i/>
                <w:iCs/>
              </w:rPr>
              <w:t>Transferor</w:t>
            </w:r>
          </w:p>
        </w:tc>
      </w:tr>
      <w:tr w:rsidR="009D3A76" w:rsidTr="00DB632C">
        <w:tc>
          <w:tcPr>
            <w:tcW w:w="65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Third proviso to section</w:t>
            </w:r>
            <w:r>
              <w:rPr>
                <w:rStyle w:val="apple-converted-space"/>
              </w:rPr>
              <w:t> </w:t>
            </w:r>
            <w:hyperlink r:id="rId72" w:history="1">
              <w:r>
                <w:rPr>
                  <w:rStyle w:val="Hyperlink"/>
                  <w:rFonts w:eastAsiaTheme="majorEastAsia"/>
                  <w:color w:val="663399"/>
                </w:rPr>
                <w:t>48</w:t>
              </w:r>
            </w:hyperlink>
          </w:p>
        </w:tc>
        <w:tc>
          <w:tcPr>
            <w:tcW w:w="360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Bonds or debentures.</w:t>
            </w:r>
          </w:p>
          <w:p w:rsidR="009D3A76" w:rsidRDefault="009D3A76">
            <w:pPr>
              <w:pStyle w:val="tx"/>
              <w:spacing w:before="0" w:beforeAutospacing="0" w:after="80" w:afterAutospacing="0"/>
              <w:jc w:val="both"/>
            </w:pPr>
            <w:r>
              <w:rPr>
                <w:i/>
                <w:iCs/>
              </w:rPr>
              <w:t>Note: However, indexation benefit is available on two type of bonds, namely,-</w:t>
            </w:r>
          </w:p>
          <w:p w:rsidR="009D3A76" w:rsidRDefault="009D3A76">
            <w:pPr>
              <w:pStyle w:val="indent1"/>
              <w:spacing w:before="0" w:beforeAutospacing="0" w:after="80" w:afterAutospacing="0"/>
              <w:ind w:left="567" w:hanging="397"/>
              <w:jc w:val="both"/>
            </w:pPr>
            <w:r>
              <w:t>  •</w:t>
            </w:r>
            <w:r>
              <w:rPr>
                <w:rStyle w:val="apple-converted-space"/>
              </w:rPr>
              <w:t> </w:t>
            </w:r>
            <w:r>
              <w:rPr>
                <w:i/>
                <w:iCs/>
              </w:rPr>
              <w:t> Capital indexed bonds (issued by the Government)</w:t>
            </w:r>
          </w:p>
          <w:p w:rsidR="009D3A76" w:rsidRDefault="009D3A76">
            <w:pPr>
              <w:pStyle w:val="indent1"/>
              <w:spacing w:before="0" w:beforeAutospacing="0" w:after="80" w:afterAutospacing="0"/>
              <w:ind w:left="567" w:hanging="397"/>
              <w:jc w:val="both"/>
            </w:pPr>
            <w:r>
              <w:t>  •</w:t>
            </w:r>
            <w:r>
              <w:rPr>
                <w:rStyle w:val="apple-converted-space"/>
              </w:rPr>
              <w:t> </w:t>
            </w:r>
            <w:r>
              <w:rPr>
                <w:i/>
                <w:iCs/>
              </w:rPr>
              <w:t> Sovereign Gold Bond (issued by the RBI under the Sovereign Gold Bond Scheme, 2015)</w:t>
            </w:r>
          </w:p>
        </w:tc>
        <w:tc>
          <w:tcPr>
            <w:tcW w:w="74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person</w:t>
            </w:r>
          </w:p>
        </w:tc>
      </w:tr>
      <w:tr w:rsidR="009D3A76" w:rsidTr="00DB632C">
        <w:tc>
          <w:tcPr>
            <w:tcW w:w="65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73" w:history="1">
              <w:r>
                <w:rPr>
                  <w:rStyle w:val="Hyperlink"/>
                  <w:rFonts w:eastAsiaTheme="majorEastAsia"/>
                  <w:color w:val="663399"/>
                </w:rPr>
                <w:t>112</w:t>
              </w:r>
            </w:hyperlink>
          </w:p>
        </w:tc>
        <w:tc>
          <w:tcPr>
            <w:tcW w:w="360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Capital gains arising from transfer of unlisted shares (which is taxable at concessional rate of 10%) as calculated without giving effect to first proviso to</w:t>
            </w:r>
            <w:r>
              <w:rPr>
                <w:rStyle w:val="apple-converted-space"/>
              </w:rPr>
              <w:t> </w:t>
            </w:r>
            <w:hyperlink r:id="rId74" w:history="1">
              <w:r>
                <w:rPr>
                  <w:rStyle w:val="Hyperlink"/>
                  <w:rFonts w:eastAsiaTheme="majorEastAsia"/>
                  <w:color w:val="663399"/>
                </w:rPr>
                <w:t>Section 48</w:t>
              </w:r>
            </w:hyperlink>
          </w:p>
        </w:tc>
        <w:tc>
          <w:tcPr>
            <w:tcW w:w="74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Non-resident</w:t>
            </w:r>
          </w:p>
        </w:tc>
      </w:tr>
      <w:tr w:rsidR="009D3A76" w:rsidTr="00DB632C">
        <w:tc>
          <w:tcPr>
            <w:tcW w:w="65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75" w:history="1">
              <w:r>
                <w:rPr>
                  <w:rStyle w:val="Hyperlink"/>
                  <w:rFonts w:eastAsiaTheme="majorEastAsia"/>
                  <w:color w:val="663399"/>
                </w:rPr>
                <w:t>50A</w:t>
              </w:r>
            </w:hyperlink>
          </w:p>
        </w:tc>
        <w:tc>
          <w:tcPr>
            <w:tcW w:w="360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Depreciable asset (other than an asset used by a power generating unit eligible for depreciation on straight line basis)</w:t>
            </w:r>
          </w:p>
        </w:tc>
        <w:tc>
          <w:tcPr>
            <w:tcW w:w="74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person</w:t>
            </w:r>
          </w:p>
        </w:tc>
      </w:tr>
      <w:tr w:rsidR="009D3A76" w:rsidTr="00DB632C">
        <w:tc>
          <w:tcPr>
            <w:tcW w:w="65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76" w:history="1">
              <w:r>
                <w:rPr>
                  <w:rStyle w:val="Hyperlink"/>
                  <w:rFonts w:eastAsiaTheme="majorEastAsia"/>
                  <w:color w:val="663399"/>
                </w:rPr>
                <w:t>50B</w:t>
              </w:r>
            </w:hyperlink>
          </w:p>
        </w:tc>
        <w:tc>
          <w:tcPr>
            <w:tcW w:w="360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Undertaking/division transferred by way of slump sale as covered by</w:t>
            </w:r>
            <w:r>
              <w:rPr>
                <w:rStyle w:val="apple-converted-space"/>
              </w:rPr>
              <w:t> </w:t>
            </w:r>
            <w:hyperlink r:id="rId77" w:history="1">
              <w:r>
                <w:rPr>
                  <w:rStyle w:val="Hyperlink"/>
                  <w:rFonts w:eastAsiaTheme="majorEastAsia"/>
                  <w:color w:val="663399"/>
                </w:rPr>
                <w:t>section 50B</w:t>
              </w:r>
            </w:hyperlink>
          </w:p>
        </w:tc>
        <w:tc>
          <w:tcPr>
            <w:tcW w:w="74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person</w:t>
            </w:r>
          </w:p>
        </w:tc>
      </w:tr>
      <w:tr w:rsidR="009D3A76" w:rsidTr="00DB632C">
        <w:tc>
          <w:tcPr>
            <w:tcW w:w="65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78" w:history="1">
              <w:r>
                <w:rPr>
                  <w:rStyle w:val="Hyperlink"/>
                  <w:rFonts w:eastAsiaTheme="majorEastAsia"/>
                  <w:color w:val="663399"/>
                </w:rPr>
                <w:t>115AB</w:t>
              </w:r>
            </w:hyperlink>
          </w:p>
        </w:tc>
        <w:tc>
          <w:tcPr>
            <w:tcW w:w="360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Units purchased in foreign currency as given in</w:t>
            </w:r>
            <w:r>
              <w:rPr>
                <w:rStyle w:val="apple-converted-space"/>
              </w:rPr>
              <w:t> </w:t>
            </w:r>
            <w:hyperlink r:id="rId79" w:history="1">
              <w:r>
                <w:rPr>
                  <w:rStyle w:val="Hyperlink"/>
                  <w:rFonts w:eastAsiaTheme="majorEastAsia"/>
                  <w:color w:val="663399"/>
                </w:rPr>
                <w:t>section 115AB</w:t>
              </w:r>
            </w:hyperlink>
          </w:p>
        </w:tc>
        <w:tc>
          <w:tcPr>
            <w:tcW w:w="74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Offshore fund</w:t>
            </w:r>
          </w:p>
        </w:tc>
      </w:tr>
      <w:tr w:rsidR="009D3A76" w:rsidTr="00DB632C">
        <w:tc>
          <w:tcPr>
            <w:tcW w:w="650"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pStyle w:val="tx"/>
              <w:spacing w:before="0" w:beforeAutospacing="0" w:after="80" w:afterAutospacing="0"/>
              <w:jc w:val="both"/>
            </w:pPr>
            <w:hyperlink r:id="rId80" w:history="1">
              <w:r>
                <w:rPr>
                  <w:rStyle w:val="Hyperlink"/>
                  <w:rFonts w:eastAsiaTheme="majorEastAsia"/>
                  <w:color w:val="663399"/>
                </w:rPr>
                <w:t>115AC</w:t>
              </w:r>
            </w:hyperlink>
          </w:p>
        </w:tc>
        <w:tc>
          <w:tcPr>
            <w:tcW w:w="3605"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pStyle w:val="tx"/>
              <w:spacing w:before="0" w:beforeAutospacing="0" w:after="80" w:afterAutospacing="0"/>
              <w:jc w:val="both"/>
            </w:pPr>
            <w:r>
              <w:t>Global depository receipts (GDR) purchased in foreign currency as given in</w:t>
            </w:r>
            <w:r>
              <w:rPr>
                <w:rStyle w:val="apple-converted-space"/>
              </w:rPr>
              <w:t> </w:t>
            </w:r>
            <w:hyperlink r:id="rId81" w:history="1">
              <w:r>
                <w:rPr>
                  <w:rStyle w:val="Hyperlink"/>
                  <w:rFonts w:eastAsiaTheme="majorEastAsia"/>
                  <w:color w:val="663399"/>
                </w:rPr>
                <w:t>section 115AC</w:t>
              </w:r>
            </w:hyperlink>
          </w:p>
        </w:tc>
        <w:tc>
          <w:tcPr>
            <w:tcW w:w="744"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pStyle w:val="tx"/>
              <w:spacing w:before="0" w:beforeAutospacing="0" w:after="80" w:afterAutospacing="0"/>
              <w:jc w:val="both"/>
            </w:pPr>
            <w:r>
              <w:t>Non-resident</w:t>
            </w:r>
          </w:p>
        </w:tc>
      </w:tr>
      <w:tr w:rsidR="009D3A76" w:rsidTr="00DB632C">
        <w:tc>
          <w:tcPr>
            <w:tcW w:w="65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hyperlink r:id="rId82" w:history="1">
              <w:r>
                <w:rPr>
                  <w:rStyle w:val="Hyperlink"/>
                  <w:rFonts w:eastAsiaTheme="majorEastAsia"/>
                  <w:color w:val="663399"/>
                </w:rPr>
                <w:t>115ACA</w:t>
              </w:r>
            </w:hyperlink>
          </w:p>
        </w:tc>
        <w:tc>
          <w:tcPr>
            <w:tcW w:w="360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Global depository receipts (GDR) purchased in foreign currency as given in</w:t>
            </w:r>
            <w:r>
              <w:rPr>
                <w:rStyle w:val="apple-converted-space"/>
              </w:rPr>
              <w:t> </w:t>
            </w:r>
            <w:hyperlink r:id="rId83" w:history="1">
              <w:r>
                <w:rPr>
                  <w:rStyle w:val="Hyperlink"/>
                  <w:rFonts w:eastAsiaTheme="majorEastAsia"/>
                  <w:color w:val="663399"/>
                </w:rPr>
                <w:t>section 115ACA</w:t>
              </w:r>
            </w:hyperlink>
          </w:p>
        </w:tc>
        <w:tc>
          <w:tcPr>
            <w:tcW w:w="74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Resident individual - employee</w:t>
            </w:r>
          </w:p>
        </w:tc>
      </w:tr>
    </w:tbl>
    <w:p w:rsidR="009D3A76" w:rsidRDefault="009D3A76" w:rsidP="009D3A76">
      <w:pPr>
        <w:pStyle w:val="tx"/>
        <w:shd w:val="clear" w:color="auto" w:fill="FFFFFF"/>
        <w:spacing w:before="0" w:beforeAutospacing="0" w:after="80" w:afterAutospacing="0"/>
        <w:jc w:val="both"/>
        <w:rPr>
          <w:color w:val="444444"/>
        </w:rPr>
      </w:pPr>
      <w:r>
        <w:rPr>
          <w:color w:val="444444"/>
        </w:rPr>
        <w:t>CII in relation to a previous year means such index, as Central Government notifies on year to year basis.</w:t>
      </w:r>
    </w:p>
    <w:p w:rsidR="009D3A76" w:rsidRDefault="009D3A76" w:rsidP="009D3A76">
      <w:pPr>
        <w:pStyle w:val="tx"/>
        <w:shd w:val="clear" w:color="auto" w:fill="FFFFFF"/>
        <w:spacing w:before="0" w:beforeAutospacing="0" w:after="80" w:afterAutospacing="0"/>
        <w:jc w:val="both"/>
        <w:rPr>
          <w:color w:val="444444"/>
        </w:rPr>
      </w:pPr>
      <w:r>
        <w:rPr>
          <w:color w:val="444444"/>
        </w:rPr>
        <w:t>The Central Government has notified the following Cost Inflation Indexes:</w:t>
      </w:r>
    </w:p>
    <w:tbl>
      <w:tblPr>
        <w:tblW w:w="5000" w:type="pct"/>
        <w:tblCellMar>
          <w:top w:w="60" w:type="dxa"/>
          <w:left w:w="60" w:type="dxa"/>
          <w:bottom w:w="60" w:type="dxa"/>
          <w:right w:w="60" w:type="dxa"/>
        </w:tblCellMar>
        <w:tblLook w:val="04A0" w:firstRow="1" w:lastRow="0" w:firstColumn="1" w:lastColumn="0" w:noHBand="0" w:noVBand="1"/>
      </w:tblPr>
      <w:tblGrid>
        <w:gridCol w:w="2282"/>
        <w:gridCol w:w="668"/>
        <w:gridCol w:w="2281"/>
        <w:gridCol w:w="667"/>
        <w:gridCol w:w="2281"/>
        <w:gridCol w:w="831"/>
      </w:tblGrid>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Financial Year</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CII</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Financial Year</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CII</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Financial Year</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CII</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1981-82</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100</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1993-94</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244</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2005-06</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497</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1982-83</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109</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1994-95</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259</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2006-07</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519</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1983-84</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116</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1995-96</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281</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2007-08</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551</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1984-85</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125</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1996-97</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305</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2008-09</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582</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1985-86</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133</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1997-98</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331</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2009-10</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632</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1986-87</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140</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1998-99</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351</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2010-11</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711</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1987-88</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150</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1999-00</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389</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2011-12</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785</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1988-89</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161</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2000-01</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406</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2012-13</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852</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1989-90</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172</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2001-02</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426</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2013-14</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939</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1990-91</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182</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2002-03</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447</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2014-15</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1024</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1991-92</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2003-04</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463</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2015-16</w:t>
            </w:r>
          </w:p>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1081</w:t>
            </w:r>
          </w:p>
        </w:tc>
      </w:tr>
      <w:tr w:rsidR="009D3A76" w:rsidTr="00DB632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1992-93</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223</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2004-05</w:t>
            </w:r>
          </w:p>
        </w:tc>
        <w:tc>
          <w:tcPr>
            <w:tcW w:w="3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480</w:t>
            </w:r>
          </w:p>
        </w:tc>
        <w:tc>
          <w:tcPr>
            <w:tcW w:w="1266" w:type="pct"/>
            <w:tcBorders>
              <w:top w:val="single" w:sz="6" w:space="0" w:color="000000"/>
              <w:left w:val="single" w:sz="6" w:space="0" w:color="000000"/>
              <w:bottom w:val="single" w:sz="6" w:space="0" w:color="000000"/>
              <w:right w:val="single" w:sz="6" w:space="0" w:color="000000"/>
            </w:tcBorders>
            <w:hideMark/>
          </w:tcPr>
          <w:p w:rsidR="009D3A76" w:rsidRDefault="009D3A76"/>
        </w:tc>
        <w:tc>
          <w:tcPr>
            <w:tcW w:w="461"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20"/>
                <w:szCs w:val="20"/>
              </w:rPr>
            </w:pPr>
          </w:p>
        </w:tc>
      </w:tr>
    </w:tbl>
    <w:p w:rsidR="009D3A76" w:rsidRDefault="009D3A76" w:rsidP="009D3A76">
      <w:pPr>
        <w:pStyle w:val="tx"/>
        <w:shd w:val="clear" w:color="auto" w:fill="FFFFFF"/>
        <w:spacing w:before="0" w:beforeAutospacing="0" w:after="80" w:afterAutospacing="0"/>
        <w:jc w:val="both"/>
        <w:rPr>
          <w:color w:val="444444"/>
        </w:rPr>
      </w:pPr>
      <w:r>
        <w:rPr>
          <w:b/>
          <w:bCs/>
          <w:color w:val="444444"/>
        </w:rPr>
        <w:t xml:space="preserve">Computation of capital gain in case of sale of shares or debentures of an Indian company purchased by a non-resident in foreign currency </w:t>
      </w:r>
      <w:proofErr w:type="gramStart"/>
      <w:r>
        <w:rPr>
          <w:b/>
          <w:bCs/>
          <w:color w:val="444444"/>
        </w:rPr>
        <w:t>[ first</w:t>
      </w:r>
      <w:proofErr w:type="gramEnd"/>
      <w:r>
        <w:rPr>
          <w:b/>
          <w:bCs/>
          <w:color w:val="444444"/>
        </w:rPr>
        <w:t xml:space="preserve"> proviso to</w:t>
      </w:r>
      <w:r>
        <w:rPr>
          <w:rStyle w:val="apple-converted-space"/>
          <w:b/>
          <w:bCs/>
          <w:color w:val="444444"/>
        </w:rPr>
        <w:t> </w:t>
      </w:r>
      <w:hyperlink r:id="rId84" w:history="1">
        <w:r>
          <w:rPr>
            <w:rStyle w:val="Hyperlink"/>
            <w:rFonts w:eastAsiaTheme="majorEastAsia"/>
            <w:b/>
            <w:bCs/>
            <w:color w:val="663399"/>
          </w:rPr>
          <w:t>section 48]</w:t>
        </w:r>
      </w:hyperlink>
    </w:p>
    <w:p w:rsidR="009D3A76" w:rsidRDefault="009D3A76" w:rsidP="009D3A76">
      <w:pPr>
        <w:pStyle w:val="tx"/>
        <w:shd w:val="clear" w:color="auto" w:fill="FFFFFF"/>
        <w:spacing w:before="0" w:beforeAutospacing="0" w:after="80" w:afterAutospacing="0"/>
        <w:jc w:val="both"/>
        <w:rPr>
          <w:color w:val="444444"/>
        </w:rPr>
      </w:pPr>
      <w:r>
        <w:rPr>
          <w:color w:val="444444"/>
        </w:rPr>
        <w:t>In such a case, capital gain shall be determined as under:-</w:t>
      </w:r>
    </w:p>
    <w:tbl>
      <w:tblPr>
        <w:tblW w:w="5000" w:type="pct"/>
        <w:tblCellMar>
          <w:top w:w="60" w:type="dxa"/>
          <w:left w:w="60" w:type="dxa"/>
          <w:bottom w:w="60" w:type="dxa"/>
          <w:right w:w="60" w:type="dxa"/>
        </w:tblCellMar>
        <w:tblLook w:val="04A0" w:firstRow="1" w:lastRow="0" w:firstColumn="1" w:lastColumn="0" w:noHBand="0" w:noVBand="1"/>
      </w:tblPr>
      <w:tblGrid>
        <w:gridCol w:w="1478"/>
        <w:gridCol w:w="7532"/>
      </w:tblGrid>
      <w:tr w:rsidR="009D3A76" w:rsidTr="00DB632C">
        <w:tc>
          <w:tcPr>
            <w:tcW w:w="73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Full Value of Consideration (X)</w:t>
            </w:r>
          </w:p>
        </w:tc>
        <w:tc>
          <w:tcPr>
            <w:tcW w:w="426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Find out sale consideration in Indian currency and convert it into same foreign currency, which was used to acquire the capital asset, at average exchange rate* on the date of transfer.</w:t>
            </w:r>
          </w:p>
        </w:tc>
      </w:tr>
      <w:tr w:rsidR="009D3A76" w:rsidTr="00DB632C">
        <w:tc>
          <w:tcPr>
            <w:tcW w:w="73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lastRenderedPageBreak/>
              <w:t>Cost of acquisition (Y)</w:t>
            </w:r>
          </w:p>
        </w:tc>
        <w:tc>
          <w:tcPr>
            <w:tcW w:w="426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Find out the cost of acquisition in Indian currency and convert it into foreign currency at average exchange rate on the date of acquisition.</w:t>
            </w:r>
          </w:p>
        </w:tc>
      </w:tr>
      <w:tr w:rsidR="009D3A76" w:rsidTr="00DB632C">
        <w:tc>
          <w:tcPr>
            <w:tcW w:w="73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Expenditure on sale (Z)</w:t>
            </w:r>
          </w:p>
        </w:tc>
        <w:tc>
          <w:tcPr>
            <w:tcW w:w="426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Find out the expenditure on transfer in Indian currency and convert it into same foreign currency at average exchange rate on the date of transfer (not on the date when expenditure is incurred).</w:t>
            </w:r>
          </w:p>
        </w:tc>
      </w:tr>
      <w:tr w:rsidR="009D3A76" w:rsidTr="00DB632C">
        <w:tc>
          <w:tcPr>
            <w:tcW w:w="73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Capital gain (X-Y-Z)</w:t>
            </w:r>
          </w:p>
        </w:tc>
        <w:tc>
          <w:tcPr>
            <w:tcW w:w="4265" w:type="pct"/>
            <w:tcBorders>
              <w:top w:val="single" w:sz="6" w:space="0" w:color="000000"/>
              <w:left w:val="single" w:sz="6" w:space="0" w:color="000000"/>
              <w:bottom w:val="single" w:sz="6" w:space="0" w:color="000000"/>
              <w:right w:val="single" w:sz="6" w:space="0" w:color="000000"/>
            </w:tcBorders>
            <w:hideMark/>
          </w:tcPr>
          <w:p w:rsidR="009D3A76" w:rsidRDefault="009D3A76">
            <w:pPr>
              <w:spacing w:after="80"/>
              <w:jc w:val="both"/>
            </w:pPr>
            <w:r>
              <w:t>The capital gains as computed in after reducing the cost of acquisition and expenditure from the full value of consideration shall be reconverted into Indian currency at buying rate** on the date of transfer.</w:t>
            </w:r>
          </w:p>
        </w:tc>
      </w:tr>
    </w:tbl>
    <w:p w:rsidR="009D3A76" w:rsidRDefault="009D3A76" w:rsidP="009D3A76">
      <w:pPr>
        <w:pStyle w:val="tx"/>
        <w:shd w:val="clear" w:color="auto" w:fill="FFFFFF"/>
        <w:spacing w:before="0" w:beforeAutospacing="0" w:after="80" w:afterAutospacing="0"/>
        <w:jc w:val="both"/>
        <w:rPr>
          <w:color w:val="444444"/>
        </w:rPr>
      </w:pPr>
      <w:r>
        <w:rPr>
          <w:color w:val="444444"/>
        </w:rPr>
        <w:t>* Average exchange rate means the average of the telegraphic transfer buying rate and telegraphic transfer selling rate of the foreign currency initially utilised in the purchase of capital asset.</w:t>
      </w:r>
    </w:p>
    <w:p w:rsidR="009D3A76" w:rsidRDefault="009D3A76" w:rsidP="009D3A76">
      <w:pPr>
        <w:pStyle w:val="tx"/>
        <w:shd w:val="clear" w:color="auto" w:fill="FFFFFF"/>
        <w:spacing w:before="0" w:beforeAutospacing="0" w:after="80" w:afterAutospacing="0"/>
        <w:jc w:val="both"/>
        <w:rPr>
          <w:color w:val="444444"/>
        </w:rPr>
      </w:pPr>
      <w:r>
        <w:rPr>
          <w:color w:val="444444"/>
        </w:rPr>
        <w:t>** Buying rate is the telegraphic transfer buying rate of such currency.</w:t>
      </w:r>
    </w:p>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289"/>
        <w:gridCol w:w="746"/>
      </w:tblGrid>
      <w:tr w:rsidR="009D3A76" w:rsidTr="009D3A76">
        <w:tc>
          <w:tcPr>
            <w:tcW w:w="0" w:type="auto"/>
            <w:hideMark/>
          </w:tcPr>
          <w:p w:rsidR="009D3A76" w:rsidRDefault="009D3A76">
            <w:pPr>
              <w:pStyle w:val="tx"/>
              <w:spacing w:before="0" w:beforeAutospacing="0" w:after="80" w:afterAutospacing="0"/>
              <w:jc w:val="both"/>
            </w:pPr>
            <w:hyperlink r:id="rId85" w:anchor="rfn10" w:history="1">
              <w:r>
                <w:rPr>
                  <w:rStyle w:val="Hyperlink"/>
                  <w:rFonts w:eastAsiaTheme="majorEastAsia"/>
                  <w:b/>
                  <w:bCs/>
                  <w:color w:val="663399"/>
                </w:rPr>
                <w:t>Full Value of Consideration</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Full value of consideration is the consideration received or receivable by the transferor in lieu of assets, which he has transferred. Such consideration may be received in cash or in kind. If it is received in kind, then fair market value (‘FMV’) of such assets shall be taken as full value of consideration.</w:t>
      </w:r>
    </w:p>
    <w:p w:rsidR="009D3A76" w:rsidRDefault="009D3A76" w:rsidP="009D3A76">
      <w:pPr>
        <w:pStyle w:val="tx"/>
        <w:shd w:val="clear" w:color="auto" w:fill="FFFFFF"/>
        <w:spacing w:before="0" w:beforeAutospacing="0" w:after="80" w:afterAutospacing="0"/>
        <w:jc w:val="both"/>
        <w:rPr>
          <w:color w:val="444444"/>
        </w:rPr>
      </w:pPr>
      <w:r>
        <w:rPr>
          <w:color w:val="444444"/>
        </w:rPr>
        <w:t>However, in the following cases “full value of the consideration” shall be determined on notional basis as per the relevant provisions of the Income-tax Act, 1961:</w:t>
      </w:r>
    </w:p>
    <w:tbl>
      <w:tblPr>
        <w:tblW w:w="5000" w:type="pct"/>
        <w:tblCellMar>
          <w:top w:w="60" w:type="dxa"/>
          <w:left w:w="60" w:type="dxa"/>
          <w:bottom w:w="60" w:type="dxa"/>
          <w:right w:w="60" w:type="dxa"/>
        </w:tblCellMar>
        <w:tblLook w:val="04A0" w:firstRow="1" w:lastRow="0" w:firstColumn="1" w:lastColumn="0" w:noHBand="0" w:noVBand="1"/>
      </w:tblPr>
      <w:tblGrid>
        <w:gridCol w:w="474"/>
        <w:gridCol w:w="3081"/>
        <w:gridCol w:w="867"/>
        <w:gridCol w:w="4588"/>
      </w:tblGrid>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S. No.</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b/>
                <w:bCs/>
              </w:rPr>
              <w:t>Nature of transaction</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Section</w:t>
            </w:r>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b/>
                <w:bCs/>
              </w:rPr>
              <w:t>Full Value of Consideration</w:t>
            </w:r>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Money or other asset received under any insurance from an insurer due to damage or destruction of a capital asset</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hyperlink r:id="rId86" w:history="1">
              <w:r>
                <w:rPr>
                  <w:rStyle w:val="Hyperlink"/>
                  <w:rFonts w:eastAsiaTheme="majorEastAsia"/>
                  <w:color w:val="663399"/>
                </w:rPr>
                <w:t>45(1A)</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Value of money or the FMV of the asset (on the date of receipt)</w:t>
            </w:r>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Conversion of capital asset into stock-in-trade</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hyperlink r:id="rId87" w:history="1">
              <w:r>
                <w:rPr>
                  <w:rStyle w:val="Hyperlink"/>
                  <w:rFonts w:eastAsiaTheme="majorEastAsia"/>
                  <w:color w:val="663399"/>
                </w:rPr>
                <w:t>45(2)</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FMV of the capital asset on the date of conversion</w:t>
            </w:r>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3.</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Transfer of capital asset by a partner or member to firm or AOP/BOI, as the case may be, as his capital contribution</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hyperlink r:id="rId88" w:history="1">
              <w:r>
                <w:rPr>
                  <w:rStyle w:val="Hyperlink"/>
                  <w:rFonts w:eastAsiaTheme="majorEastAsia"/>
                  <w:color w:val="663399"/>
                </w:rPr>
                <w:t>45(3)</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Amount recorded in the books of accounts of the firm or AOP/BOI as the value of the capital asset received as capital contribution</w:t>
            </w:r>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lastRenderedPageBreak/>
              <w:t>4.</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Distribution of capital asset by Firm or AOP/BOI to its partners or members, as the case may be, on its dissolution</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hyperlink r:id="rId89" w:history="1">
              <w:r>
                <w:rPr>
                  <w:rStyle w:val="Hyperlink"/>
                  <w:rFonts w:eastAsiaTheme="majorEastAsia"/>
                  <w:color w:val="663399"/>
                </w:rPr>
                <w:t>45(4)</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FMV of such asset on the date of transfer</w:t>
            </w:r>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5.</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Money or other assets received by share- holders at the time of liquidation of the company</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hyperlink r:id="rId90" w:history="1">
              <w:r>
                <w:rPr>
                  <w:rStyle w:val="Hyperlink"/>
                  <w:rFonts w:eastAsiaTheme="majorEastAsia"/>
                  <w:color w:val="663399"/>
                </w:rPr>
                <w:t>46(2)</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Total money</w:t>
            </w:r>
            <w:r>
              <w:rPr>
                <w:rStyle w:val="apple-converted-space"/>
              </w:rPr>
              <w:t> </w:t>
            </w:r>
            <w:r>
              <w:rPr>
                <w:i/>
                <w:iCs/>
              </w:rPr>
              <w:t>plus</w:t>
            </w:r>
            <w:r>
              <w:rPr>
                <w:rStyle w:val="apple-converted-space"/>
              </w:rPr>
              <w:t> </w:t>
            </w:r>
            <w:r>
              <w:t>FMV of assets received on the date of distribution</w:t>
            </w:r>
            <w:r>
              <w:rPr>
                <w:rStyle w:val="apple-converted-space"/>
              </w:rPr>
              <w:t> </w:t>
            </w:r>
            <w:r>
              <w:rPr>
                <w:i/>
                <w:iCs/>
              </w:rPr>
              <w:t>less</w:t>
            </w:r>
            <w:r>
              <w:rPr>
                <w:rStyle w:val="apple-converted-space"/>
              </w:rPr>
              <w:t> </w:t>
            </w:r>
            <w:r>
              <w:t>amount assessed as deemed dividend under</w:t>
            </w:r>
            <w:r>
              <w:rPr>
                <w:rStyle w:val="apple-converted-space"/>
              </w:rPr>
              <w:t> </w:t>
            </w:r>
            <w:hyperlink r:id="rId91" w:history="1">
              <w:r>
                <w:rPr>
                  <w:rStyle w:val="Hyperlink"/>
                  <w:rFonts w:eastAsiaTheme="majorEastAsia"/>
                  <w:color w:val="663399"/>
                </w:rPr>
                <w:t>section 2(22)(c)</w:t>
              </w:r>
            </w:hyperlink>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6.</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Shares, debentures, warrants (‘securities’) allotted by an employer to an employee under notified Employees Stock Option Scheme and such securities are gifted by the concerned employee to any person</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Fourth Proviso to</w:t>
            </w:r>
            <w:r w:rsidR="00DB632C">
              <w:t xml:space="preserve"> </w:t>
            </w:r>
            <w:hyperlink r:id="rId92" w:history="1">
              <w:r>
                <w:rPr>
                  <w:rStyle w:val="Hyperlink"/>
                  <w:rFonts w:eastAsiaTheme="majorEastAsia"/>
                  <w:color w:val="663399"/>
                </w:rPr>
                <w:t>Section 48</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Fair Market value of securities at the time of gift</w:t>
            </w:r>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7.</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In case of transfer of land or building, if sale consideration declared in the conveyance deed is less than the stamp duty value</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hyperlink r:id="rId93" w:history="1">
              <w:r>
                <w:rPr>
                  <w:rStyle w:val="Hyperlink"/>
                  <w:rFonts w:eastAsiaTheme="majorEastAsia"/>
                  <w:color w:val="663399"/>
                </w:rPr>
                <w:t>50C</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The value adopted or assessed or assessable by the Stamp Valuation Authority shall be deemed to be the full value of consideration</w:t>
            </w:r>
          </w:p>
          <w:p w:rsidR="009D3A76" w:rsidRDefault="009D3A76">
            <w:pPr>
              <w:pStyle w:val="tx"/>
              <w:spacing w:before="0" w:beforeAutospacing="0" w:after="80" w:afterAutospacing="0"/>
              <w:jc w:val="both"/>
            </w:pPr>
            <w:r>
              <w:rPr>
                <w:b/>
                <w:bCs/>
              </w:rPr>
              <w:t>Note:</w:t>
            </w:r>
            <w:r>
              <w:rPr>
                <w:rStyle w:val="apple-converted-space"/>
                <w:b/>
                <w:bCs/>
              </w:rPr>
              <w:t> </w:t>
            </w:r>
            <w:r>
              <w:t>Where the date of agreement (fixing the amount of consideration) and the date of registration for the transfer of property are not the same, the value adopted or assessed or assessable by Stamp Valuation Authority on the date of agreement may be taken as full value of consideration.</w:t>
            </w:r>
          </w:p>
        </w:tc>
      </w:tr>
      <w:tr w:rsidR="009D3A76" w:rsidTr="00DB632C">
        <w:tc>
          <w:tcPr>
            <w:tcW w:w="14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8.</w:t>
            </w:r>
          </w:p>
        </w:tc>
        <w:tc>
          <w:tcPr>
            <w:tcW w:w="1804"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If consideration received or accruing as a result of transfer of a capital asset is not ascertainable or cannot be determined</w:t>
            </w:r>
          </w:p>
        </w:tc>
        <w:tc>
          <w:tcPr>
            <w:tcW w:w="41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hyperlink r:id="rId94" w:history="1">
              <w:r>
                <w:rPr>
                  <w:rStyle w:val="Hyperlink"/>
                  <w:rFonts w:eastAsiaTheme="majorEastAsia"/>
                  <w:color w:val="663399"/>
                </w:rPr>
                <w:t>50D</w:t>
              </w:r>
            </w:hyperlink>
          </w:p>
        </w:tc>
        <w:tc>
          <w:tcPr>
            <w:tcW w:w="264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FMV of asset on the date of transfer (applicable from the assessment year 2013-14)</w:t>
            </w:r>
          </w:p>
        </w:tc>
      </w:tr>
    </w:tbl>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004"/>
        <w:gridCol w:w="1031"/>
      </w:tblGrid>
      <w:tr w:rsidR="009D3A76" w:rsidTr="009D3A76">
        <w:tc>
          <w:tcPr>
            <w:tcW w:w="0" w:type="auto"/>
            <w:hideMark/>
          </w:tcPr>
          <w:p w:rsidR="009D3A76" w:rsidRDefault="009D3A76">
            <w:pPr>
              <w:pStyle w:val="tx"/>
              <w:spacing w:before="0" w:beforeAutospacing="0" w:after="80" w:afterAutospacing="0"/>
              <w:jc w:val="both"/>
            </w:pPr>
            <w:hyperlink r:id="rId95" w:anchor="rfn11" w:history="1">
              <w:r>
                <w:rPr>
                  <w:rStyle w:val="Hyperlink"/>
                  <w:rFonts w:eastAsiaTheme="majorEastAsia"/>
                  <w:b/>
                  <w:bCs/>
                  <w:color w:val="663399"/>
                </w:rPr>
                <w:t>Cost of Acquisition</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Cost of acquisition of an asset is the amount for which it was originally acquired by the assessee. It includes expenses of capital nature incurred in connection with such purchase or for completing the title of the property.</w:t>
      </w:r>
    </w:p>
    <w:p w:rsidR="009D3A76" w:rsidRDefault="009D3A76" w:rsidP="009D3A76">
      <w:pPr>
        <w:pStyle w:val="tx"/>
        <w:shd w:val="clear" w:color="auto" w:fill="FFFFFF"/>
        <w:spacing w:before="0" w:beforeAutospacing="0" w:after="80" w:afterAutospacing="0"/>
        <w:jc w:val="both"/>
        <w:rPr>
          <w:color w:val="444444"/>
        </w:rPr>
      </w:pPr>
      <w:r>
        <w:rPr>
          <w:color w:val="444444"/>
        </w:rPr>
        <w:lastRenderedPageBreak/>
        <w:t>However, in cases given below, cost of acquisition shall be computed on notional basis:</w:t>
      </w:r>
    </w:p>
    <w:tbl>
      <w:tblPr>
        <w:tblW w:w="5000" w:type="pct"/>
        <w:tblCellMar>
          <w:top w:w="60" w:type="dxa"/>
          <w:left w:w="60" w:type="dxa"/>
          <w:bottom w:w="60" w:type="dxa"/>
          <w:right w:w="60" w:type="dxa"/>
        </w:tblCellMar>
        <w:tblLook w:val="04A0" w:firstRow="1" w:lastRow="0" w:firstColumn="1" w:lastColumn="0" w:noHBand="0" w:noVBand="1"/>
      </w:tblPr>
      <w:tblGrid>
        <w:gridCol w:w="474"/>
        <w:gridCol w:w="4549"/>
        <w:gridCol w:w="3987"/>
      </w:tblGrid>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S. No.</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Particulars</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Notional Cost of Acquisition</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Additional compensation in the case of compulsory acquisition of capital assets</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i/>
                <w:iCs/>
              </w:rPr>
              <w:t>Nil</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Assets received by a shareholder on liquidation of the company</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FMV of such asset on the date of distribution of assets to the shareholders</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3.</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Stock or shares becomes property of taxpayer on consolidation, conversion, etc.</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Cost of acquisition of such stock or shares from which such asset is derived</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Allotment of shares in an amalgamated Indian co. to the shareholders of amalgamating co. in a scheme of amalgamation</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Cost of acquisition of shares in the amalgamating co.</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5.</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Conversion of debentures into shares</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That part of the cost of debentures in relation to which such asset is acquired by the assessee</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6.</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Allotment of shares/securities by a co. to its employees under ESOP Scheme approved by the Central Government</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jc w:val="both"/>
            </w:pPr>
            <w:r>
              <w:t>a) If shares are allotted during 1999-2000 or on or after April 1, 2009, FMV of securities on the date of exercise of option</w:t>
            </w:r>
          </w:p>
          <w:p w:rsidR="009D3A76" w:rsidRDefault="009D3A76">
            <w:pPr>
              <w:pStyle w:val="indent1"/>
              <w:spacing w:before="0" w:beforeAutospacing="0" w:after="80" w:afterAutospacing="0"/>
              <w:ind w:left="567" w:hanging="397"/>
              <w:jc w:val="both"/>
            </w:pPr>
            <w:r>
              <w:t>b) If shares are allotted before April 1, 2007 (not being during 1999-2000), the amount actually paid to acquire the securities</w:t>
            </w:r>
          </w:p>
          <w:p w:rsidR="009D3A76" w:rsidRDefault="009D3A76">
            <w:pPr>
              <w:pStyle w:val="indent1"/>
              <w:spacing w:before="0" w:beforeAutospacing="0" w:after="80" w:afterAutospacing="0"/>
              <w:ind w:left="567" w:hanging="397"/>
              <w:jc w:val="both"/>
            </w:pPr>
            <w:r>
              <w:t>c) If shares are allotted on or after April 1, 2007 but before April 1, 2009, FMV of securities on the date of vesting of option (purchase price paid to the employer or FBT paid to employer shall not be considered)</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7.</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Property covered by</w:t>
            </w:r>
            <w:r>
              <w:rPr>
                <w:rStyle w:val="apple-converted-space"/>
              </w:rPr>
              <w:t> </w:t>
            </w:r>
            <w:hyperlink r:id="rId96" w:history="1">
              <w:r>
                <w:rPr>
                  <w:rStyle w:val="Hyperlink"/>
                  <w:rFonts w:eastAsiaTheme="majorEastAsia"/>
                  <w:color w:val="663399"/>
                </w:rPr>
                <w:t>section 56(2)(vii)</w:t>
              </w:r>
            </w:hyperlink>
            <w:r>
              <w:rPr>
                <w:rStyle w:val="apple-converted-space"/>
              </w:rPr>
              <w:t> </w:t>
            </w:r>
            <w:r>
              <w:t>or (viia)</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The value which has been considered for the purpose of Section</w:t>
            </w:r>
            <w:hyperlink r:id="rId97" w:history="1">
              <w:r>
                <w:rPr>
                  <w:rStyle w:val="apple-converted-space"/>
                  <w:color w:val="663399"/>
                </w:rPr>
                <w:t> </w:t>
              </w:r>
              <w:r>
                <w:rPr>
                  <w:rStyle w:val="Hyperlink"/>
                  <w:rFonts w:eastAsiaTheme="majorEastAsia"/>
                  <w:color w:val="663399"/>
                </w:rPr>
                <w:t>56(2)(vii)</w:t>
              </w:r>
            </w:hyperlink>
            <w:r>
              <w:rPr>
                <w:rStyle w:val="apple-converted-space"/>
              </w:rPr>
              <w:t> </w:t>
            </w:r>
            <w:r>
              <w:t>or (viia)</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lastRenderedPageBreak/>
              <w:t>8.</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Allotment of shares in Indian resulting company to the existing shareholders of the demerger company in a scheme of demerger</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 xml:space="preserve">Cost of acquisition of shares in demerged </w:t>
            </w:r>
            <w:proofErr w:type="gramStart"/>
            <w:r>
              <w:t>company ?</w:t>
            </w:r>
            <w:proofErr w:type="gramEnd"/>
            <w:r>
              <w:t xml:space="preserve"> Net book value of assets transferred in </w:t>
            </w:r>
            <w:proofErr w:type="gramStart"/>
            <w:r>
              <w:t>demerger ?</w:t>
            </w:r>
            <w:proofErr w:type="gramEnd"/>
            <w:r>
              <w:t xml:space="preserve"> Net worth of the demerged company immediately before demerger</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9.</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Cost of acquisition of rights of a partner in a LLP which became the property of the taxpayer due to conversion of a private company or unlisted public company into the LLP</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Cost of acquisition of the shares in the co. immediately before conversion</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10.</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Depreciable assets covered under</w:t>
            </w:r>
            <w:r>
              <w:rPr>
                <w:rStyle w:val="apple-converted-space"/>
              </w:rPr>
              <w:t> </w:t>
            </w:r>
            <w:hyperlink r:id="rId98" w:history="1">
              <w:r>
                <w:rPr>
                  <w:rStyle w:val="Hyperlink"/>
                  <w:rFonts w:eastAsiaTheme="majorEastAsia"/>
                  <w:color w:val="663399"/>
                </w:rPr>
                <w:t>Section 50</w:t>
              </w:r>
            </w:hyperlink>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Opening WDV of block of assets on the first day of the previous year</w:t>
            </w:r>
            <w:r>
              <w:rPr>
                <w:rStyle w:val="apple-converted-space"/>
              </w:rPr>
              <w:t> </w:t>
            </w:r>
            <w:r>
              <w:rPr>
                <w:i/>
                <w:iCs/>
              </w:rPr>
              <w:t>plus</w:t>
            </w:r>
            <w:r>
              <w:rPr>
                <w:rStyle w:val="apple-converted-space"/>
                <w:i/>
                <w:iCs/>
              </w:rPr>
              <w:t> </w:t>
            </w:r>
            <w:r>
              <w:t>actual cost of assets acquired during the year which fall within the same block of assets</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11.</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Depreciable assets of a power generating unit as covered under</w:t>
            </w:r>
            <w:r>
              <w:rPr>
                <w:rStyle w:val="apple-converted-space"/>
              </w:rPr>
              <w:t> </w:t>
            </w:r>
            <w:hyperlink r:id="rId99" w:history="1">
              <w:r>
                <w:rPr>
                  <w:rStyle w:val="Hyperlink"/>
                  <w:rFonts w:eastAsiaTheme="majorEastAsia"/>
                  <w:color w:val="663399"/>
                </w:rPr>
                <w:t>Section 50A</w:t>
              </w:r>
            </w:hyperlink>
            <w:r>
              <w:t>*</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WDV of the asset</w:t>
            </w:r>
            <w:r>
              <w:rPr>
                <w:rStyle w:val="apple-converted-space"/>
              </w:rPr>
              <w:t> </w:t>
            </w:r>
            <w:r>
              <w:rPr>
                <w:i/>
                <w:iCs/>
              </w:rPr>
              <w:t>minus</w:t>
            </w:r>
            <w:r>
              <w:rPr>
                <w:rStyle w:val="apple-converted-space"/>
                <w:i/>
                <w:iCs/>
              </w:rPr>
              <w:t> </w:t>
            </w:r>
            <w:r>
              <w:t>terminal depreciation</w:t>
            </w:r>
            <w:r>
              <w:rPr>
                <w:rStyle w:val="apple-converted-space"/>
              </w:rPr>
              <w:t> </w:t>
            </w:r>
            <w:r>
              <w:rPr>
                <w:i/>
                <w:iCs/>
              </w:rPr>
              <w:t>plus</w:t>
            </w:r>
            <w:r>
              <w:rPr>
                <w:rStyle w:val="apple-converted-space"/>
                <w:i/>
                <w:iCs/>
              </w:rPr>
              <w:t> </w:t>
            </w:r>
            <w:r>
              <w:t>balancing charge</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12.</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Undertaking/division acquired by way of slump sale as covered under section 50B</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Net worth of such undertaking</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13.</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New asset acquired for claiming exemptions under sections</w:t>
            </w:r>
            <w:r>
              <w:rPr>
                <w:rStyle w:val="apple-converted-space"/>
              </w:rPr>
              <w:t> </w:t>
            </w:r>
            <w:hyperlink r:id="rId100" w:history="1">
              <w:r>
                <w:rPr>
                  <w:rStyle w:val="Hyperlink"/>
                  <w:rFonts w:eastAsiaTheme="majorEastAsia"/>
                  <w:color w:val="663399"/>
                </w:rPr>
                <w:t>54</w:t>
              </w:r>
            </w:hyperlink>
            <w:r>
              <w:t>,</w:t>
            </w:r>
            <w:r>
              <w:rPr>
                <w:rStyle w:val="apple-converted-space"/>
              </w:rPr>
              <w:t> </w:t>
            </w:r>
            <w:hyperlink r:id="rId101" w:history="1">
              <w:r>
                <w:rPr>
                  <w:rStyle w:val="Hyperlink"/>
                  <w:rFonts w:eastAsiaTheme="majorEastAsia"/>
                  <w:color w:val="663399"/>
                </w:rPr>
                <w:t>54B</w:t>
              </w:r>
            </w:hyperlink>
            <w:r>
              <w:t>,</w:t>
            </w:r>
            <w:r>
              <w:rPr>
                <w:rStyle w:val="apple-converted-space"/>
              </w:rPr>
              <w:t> </w:t>
            </w:r>
            <w:hyperlink r:id="rId102" w:history="1">
              <w:r>
                <w:rPr>
                  <w:rStyle w:val="Hyperlink"/>
                  <w:rFonts w:eastAsiaTheme="majorEastAsia"/>
                  <w:color w:val="663399"/>
                </w:rPr>
                <w:t>54D</w:t>
              </w:r>
            </w:hyperlink>
            <w:r>
              <w:t>,</w:t>
            </w:r>
            <w:r>
              <w:rPr>
                <w:rStyle w:val="apple-converted-space"/>
              </w:rPr>
              <w:t> </w:t>
            </w:r>
            <w:hyperlink r:id="rId103" w:history="1">
              <w:r>
                <w:rPr>
                  <w:rStyle w:val="Hyperlink"/>
                  <w:rFonts w:eastAsiaTheme="majorEastAsia"/>
                  <w:color w:val="663399"/>
                </w:rPr>
                <w:t>54G</w:t>
              </w:r>
            </w:hyperlink>
            <w:r>
              <w:rPr>
                <w:rStyle w:val="apple-converted-space"/>
              </w:rPr>
              <w:t> </w:t>
            </w:r>
            <w:r>
              <w:t>or</w:t>
            </w:r>
            <w:r>
              <w:rPr>
                <w:rStyle w:val="apple-converted-space"/>
              </w:rPr>
              <w:t> </w:t>
            </w:r>
            <w:hyperlink r:id="rId104" w:history="1">
              <w:r>
                <w:rPr>
                  <w:rStyle w:val="Hyperlink"/>
                  <w:rFonts w:eastAsiaTheme="majorEastAsia"/>
                  <w:color w:val="663399"/>
                </w:rPr>
                <w:t>54GA</w:t>
              </w:r>
            </w:hyperlink>
            <w:r>
              <w:rPr>
                <w:rStyle w:val="apple-converted-space"/>
              </w:rPr>
              <w:t> </w:t>
            </w:r>
            <w:r>
              <w:t>if it is transferred within three years</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Actual cost of acquisition</w:t>
            </w:r>
            <w:r>
              <w:rPr>
                <w:rStyle w:val="apple-converted-space"/>
              </w:rPr>
              <w:t> </w:t>
            </w:r>
            <w:r>
              <w:rPr>
                <w:i/>
                <w:iCs/>
              </w:rPr>
              <w:t>minus</w:t>
            </w:r>
            <w:r>
              <w:rPr>
                <w:rStyle w:val="apple-converted-space"/>
              </w:rPr>
              <w:t> </w:t>
            </w:r>
            <w:r>
              <w:t>exemption claimed under these sections</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14.</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Goodwill of business or trade mark or brand name associated with business or right to manufacture, produce or process any article or thing or right to carry on any business or profession, tenancy right, stage permits or loom hours</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jc w:val="both"/>
            </w:pPr>
            <w:r>
              <w:t>a) If these assets were acquired by gift, will, etc., under</w:t>
            </w:r>
            <w:r>
              <w:rPr>
                <w:rStyle w:val="apple-converted-space"/>
              </w:rPr>
              <w:t> </w:t>
            </w:r>
            <w:hyperlink r:id="rId105" w:history="1">
              <w:r>
                <w:rPr>
                  <w:rStyle w:val="Hyperlink"/>
                  <w:rFonts w:eastAsiaTheme="majorEastAsia"/>
                  <w:color w:val="663399"/>
                </w:rPr>
                <w:t>section 49(1)</w:t>
              </w:r>
            </w:hyperlink>
            <w:r>
              <w:rPr>
                <w:rStyle w:val="apple-converted-space"/>
              </w:rPr>
              <w:t> </w:t>
            </w:r>
            <w:r>
              <w:t>and the previous owner had purchased these assets: Cost of acquisition to the previous owner</w:t>
            </w:r>
          </w:p>
          <w:p w:rsidR="009D3A76" w:rsidRDefault="009D3A76">
            <w:pPr>
              <w:pStyle w:val="indent1"/>
              <w:spacing w:before="0" w:beforeAutospacing="0" w:after="80" w:afterAutospacing="0"/>
              <w:ind w:left="567" w:hanging="397"/>
              <w:jc w:val="both"/>
            </w:pPr>
            <w:r>
              <w:t>b) If the owner has purchased these assets: Actual cost of acquisition</w:t>
            </w:r>
          </w:p>
          <w:p w:rsidR="009D3A76" w:rsidRDefault="009D3A76">
            <w:pPr>
              <w:pStyle w:val="indent1"/>
              <w:spacing w:before="0" w:beforeAutospacing="0" w:after="80" w:afterAutospacing="0"/>
              <w:ind w:left="567" w:hanging="397"/>
              <w:jc w:val="both"/>
            </w:pPr>
            <w:r>
              <w:t>c) If these assets are self-generated:</w:t>
            </w:r>
            <w:r>
              <w:rPr>
                <w:rStyle w:val="apple-converted-space"/>
              </w:rPr>
              <w:t> </w:t>
            </w:r>
            <w:r>
              <w:rPr>
                <w:i/>
                <w:iCs/>
              </w:rPr>
              <w:t>Nil</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15.</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Right shares</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Amount actually paid by assessee</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16.</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Right to subscribe to shares (i.e., right entitlement)</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i/>
                <w:iCs/>
              </w:rPr>
              <w:t>Nil</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lastRenderedPageBreak/>
              <w:t>17.</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Bonus shares</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jc w:val="both"/>
            </w:pPr>
            <w:r>
              <w:t>a) If allotted to the assessee before April 1, 1981: Fair market value on that date</w:t>
            </w:r>
          </w:p>
          <w:p w:rsidR="009D3A76" w:rsidRDefault="009D3A76">
            <w:pPr>
              <w:pStyle w:val="indent1"/>
              <w:spacing w:before="0" w:beforeAutospacing="0" w:after="80" w:afterAutospacing="0"/>
              <w:ind w:left="567" w:hanging="397"/>
              <w:jc w:val="both"/>
            </w:pPr>
            <w:r>
              <w:t>b) In any other case:</w:t>
            </w:r>
            <w:r>
              <w:rPr>
                <w:rStyle w:val="apple-converted-space"/>
              </w:rPr>
              <w:t> </w:t>
            </w:r>
            <w:r>
              <w:rPr>
                <w:i/>
                <w:iCs/>
              </w:rPr>
              <w:t>Nil</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18.</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Allotment of equity shares and right to trade in stock exchange, allotted to members of stock exchange under a scheme of demutualization or corporatization of stock exchanges as approved by SEBI</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jc w:val="both"/>
            </w:pPr>
            <w:r>
              <w:t>a) Cost of acquisition of shares: Cost of acquisition of original membership of the stock exchange</w:t>
            </w:r>
          </w:p>
          <w:p w:rsidR="009D3A76" w:rsidRDefault="009D3A76">
            <w:pPr>
              <w:pStyle w:val="indent1"/>
              <w:spacing w:before="0" w:beforeAutospacing="0" w:after="80" w:afterAutospacing="0"/>
              <w:ind w:left="567" w:hanging="397"/>
              <w:jc w:val="both"/>
            </w:pPr>
            <w:r>
              <w:t>b) Cost of acquisition of trading or clearing rights of the stock exchange:</w:t>
            </w:r>
            <w:r>
              <w:rPr>
                <w:rStyle w:val="apple-converted-space"/>
              </w:rPr>
              <w:t> </w:t>
            </w:r>
            <w:r>
              <w:rPr>
                <w:i/>
                <w:iCs/>
              </w:rPr>
              <w:t>Nil</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19.</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Capital asset, being a unit of business trust, acquired in consideration of transfer as referred to in section 47(xvii)</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Cost of acquisition of shares as referred to in section 47(xvii) [applicable from AY 2015-16]</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rPr>
                <w:sz w:val="24"/>
                <w:szCs w:val="24"/>
              </w:rPr>
            </w:pPr>
            <w:r>
              <w:t>Units allotted to an assessee pursuant to consolidation of two or more scheme of a mutual fund as referred to in Section 47(xviii)</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pPr>
            <w:r>
              <w:t>Cost of acquisition of such units shall be the cost of acquisition of units in the consolidating scheme of the mutual fund</w:t>
            </w:r>
          </w:p>
        </w:tc>
      </w:tr>
      <w:tr w:rsidR="009D3A76" w:rsidTr="00DB632C">
        <w:tc>
          <w:tcPr>
            <w:tcW w:w="146"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jc w:val="both"/>
            </w:pPr>
          </w:p>
        </w:tc>
        <w:tc>
          <w:tcPr>
            <w:tcW w:w="2583"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jc w:val="both"/>
              <w:rPr>
                <w:sz w:val="24"/>
                <w:szCs w:val="24"/>
              </w:rPr>
            </w:pPr>
            <w:r>
              <w:t>Shares in a company acquired by the non-resident assessee on redemption of Global Depository Receipts referred to in Section 115AC(1)(b)</w:t>
            </w:r>
          </w:p>
        </w:tc>
        <w:tc>
          <w:tcPr>
            <w:tcW w:w="2271" w:type="pct"/>
            <w:tcBorders>
              <w:top w:val="single" w:sz="6" w:space="0" w:color="000000"/>
              <w:left w:val="single" w:sz="6" w:space="0" w:color="000000"/>
              <w:bottom w:val="single" w:sz="6" w:space="0" w:color="000000"/>
              <w:right w:val="single" w:sz="6" w:space="0" w:color="000000"/>
            </w:tcBorders>
            <w:vAlign w:val="center"/>
            <w:hideMark/>
          </w:tcPr>
          <w:p w:rsidR="009D3A76" w:rsidRDefault="009D3A76">
            <w:pPr>
              <w:jc w:val="both"/>
            </w:pPr>
            <w:r>
              <w:t>Cost of acquisition of such shares shall be calculated on the basis of the price prevailing on any recognized stock exchange on the date on which a request for such redemption was made.</w:t>
            </w:r>
          </w:p>
        </w:tc>
      </w:tr>
      <w:tr w:rsidR="009D3A76" w:rsidTr="00DB632C">
        <w:tc>
          <w:tcPr>
            <w:tcW w:w="146"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20.</w:t>
            </w:r>
          </w:p>
        </w:tc>
        <w:tc>
          <w:tcPr>
            <w:tcW w:w="258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other capital asset:</w:t>
            </w:r>
          </w:p>
        </w:tc>
        <w:tc>
          <w:tcPr>
            <w:tcW w:w="227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jc w:val="both"/>
            </w:pPr>
            <w:r>
              <w:t>a) If it became property of taxpayer before April 1, 1981 by gift, will, etc., in modes specified in</w:t>
            </w:r>
            <w:r>
              <w:rPr>
                <w:rStyle w:val="apple-converted-space"/>
              </w:rPr>
              <w:t> </w:t>
            </w:r>
            <w:hyperlink r:id="rId106" w:history="1">
              <w:r>
                <w:rPr>
                  <w:rStyle w:val="Hyperlink"/>
                  <w:rFonts w:eastAsiaTheme="majorEastAsia"/>
                  <w:color w:val="663399"/>
                </w:rPr>
                <w:t>section 49(1)</w:t>
              </w:r>
            </w:hyperlink>
            <w:r>
              <w:t>: Cost of acquisition to the previous owner or FMV as on April 1,1981, whichever is higher</w:t>
            </w:r>
          </w:p>
          <w:p w:rsidR="009D3A76" w:rsidRDefault="009D3A76">
            <w:pPr>
              <w:pStyle w:val="indent1"/>
              <w:spacing w:before="0" w:beforeAutospacing="0" w:after="80" w:afterAutospacing="0"/>
              <w:ind w:left="567" w:hanging="397"/>
              <w:jc w:val="both"/>
            </w:pPr>
            <w:r>
              <w:t>b) If it became property of taxpayer before April 1, 1981: Cost of acquisition or FMV as on April 1, 1981, whichever is more</w:t>
            </w:r>
          </w:p>
          <w:p w:rsidR="009D3A76" w:rsidRDefault="009D3A76">
            <w:pPr>
              <w:pStyle w:val="indent1"/>
              <w:spacing w:before="0" w:beforeAutospacing="0" w:after="80" w:afterAutospacing="0"/>
              <w:ind w:left="567" w:hanging="397"/>
              <w:jc w:val="both"/>
            </w:pPr>
            <w:r>
              <w:t>c) If it became property of taxpayer after April 1, 1981 by gift, will, etc., in modes specified in</w:t>
            </w:r>
            <w:r>
              <w:rPr>
                <w:rStyle w:val="apple-converted-space"/>
              </w:rPr>
              <w:t> </w:t>
            </w:r>
            <w:hyperlink r:id="rId107" w:history="1">
              <w:r>
                <w:rPr>
                  <w:rStyle w:val="Hyperlink"/>
                  <w:rFonts w:eastAsiaTheme="majorEastAsia"/>
                  <w:color w:val="663399"/>
                </w:rPr>
                <w:t>section 49(1)</w:t>
              </w:r>
            </w:hyperlink>
            <w:r>
              <w:t>: Cost of acquisition to the previous owner</w:t>
            </w:r>
          </w:p>
          <w:p w:rsidR="009D3A76" w:rsidRDefault="009D3A76">
            <w:pPr>
              <w:pStyle w:val="indent1"/>
              <w:spacing w:before="0" w:beforeAutospacing="0" w:after="80" w:afterAutospacing="0"/>
              <w:ind w:left="567" w:hanging="397"/>
              <w:jc w:val="both"/>
            </w:pPr>
            <w:r>
              <w:lastRenderedPageBreak/>
              <w:t>d) If it became property of taxpayer after April 1, 1981: Actual cost of acquisition</w:t>
            </w:r>
          </w:p>
        </w:tc>
      </w:tr>
    </w:tbl>
    <w:p w:rsidR="009D3A76" w:rsidRDefault="009D3A76" w:rsidP="009D3A76">
      <w:pPr>
        <w:pStyle w:val="tx"/>
        <w:shd w:val="clear" w:color="auto" w:fill="FFFFFF"/>
        <w:spacing w:before="0" w:beforeAutospacing="0" w:after="80" w:afterAutospacing="0"/>
        <w:jc w:val="both"/>
        <w:rPr>
          <w:color w:val="444444"/>
        </w:rPr>
      </w:pPr>
      <w:r>
        <w:rPr>
          <w:color w:val="444444"/>
        </w:rPr>
        <w:lastRenderedPageBreak/>
        <w:t>* Terminal Depreciation/Balancing Charge:</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Balancing Charge = Sales Consideration</w:t>
      </w:r>
      <w:r>
        <w:rPr>
          <w:rStyle w:val="apple-converted-space"/>
          <w:color w:val="444444"/>
        </w:rPr>
        <w:t> </w:t>
      </w:r>
      <w:r>
        <w:rPr>
          <w:i/>
          <w:iCs/>
          <w:color w:val="444444"/>
        </w:rPr>
        <w:t>-</w:t>
      </w:r>
      <w:r>
        <w:rPr>
          <w:rStyle w:val="apple-converted-space"/>
          <w:i/>
          <w:iCs/>
          <w:color w:val="444444"/>
        </w:rPr>
        <w:t> </w:t>
      </w:r>
      <w:r>
        <w:rPr>
          <w:color w:val="444444"/>
        </w:rPr>
        <w:t>WDV of the depreciable asset</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Terminal Depreciation = WDV - Sales Consideration</w:t>
      </w:r>
    </w:p>
    <w:p w:rsidR="009D3A76" w:rsidRDefault="009D3A76" w:rsidP="009D3A76">
      <w:pPr>
        <w:pStyle w:val="tx"/>
        <w:shd w:val="clear" w:color="auto" w:fill="FFFFFF"/>
        <w:spacing w:before="0" w:beforeAutospacing="0" w:after="80" w:afterAutospacing="0"/>
        <w:jc w:val="both"/>
        <w:rPr>
          <w:color w:val="444444"/>
        </w:rPr>
      </w:pPr>
      <w:r>
        <w:rPr>
          <w:color w:val="444444"/>
        </w:rPr>
        <w:t>When a depreciable asset (which was subject to depreciation on straight line basis) of a power generating units is sold, discarded, demolished or destroyed then terminal depreciation shall be deductible from sale consideration while computing capital gains, or balancing charge is taxable in the relevant year, as the case may be.</w:t>
      </w:r>
    </w:p>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485"/>
        <w:gridCol w:w="550"/>
      </w:tblGrid>
      <w:tr w:rsidR="009D3A76" w:rsidTr="009D3A76">
        <w:tc>
          <w:tcPr>
            <w:tcW w:w="0" w:type="auto"/>
            <w:hideMark/>
          </w:tcPr>
          <w:p w:rsidR="009D3A76" w:rsidRDefault="009D3A76">
            <w:pPr>
              <w:pStyle w:val="tx"/>
              <w:spacing w:before="0" w:beforeAutospacing="0" w:after="80" w:afterAutospacing="0"/>
              <w:jc w:val="both"/>
            </w:pPr>
            <w:hyperlink r:id="rId108" w:anchor="rfn12" w:history="1">
              <w:r>
                <w:rPr>
                  <w:rStyle w:val="Hyperlink"/>
                  <w:rFonts w:eastAsiaTheme="majorEastAsia"/>
                  <w:b/>
                  <w:bCs/>
                  <w:color w:val="663399"/>
                </w:rPr>
                <w:t>Cost to the Previous Owner</w:t>
              </w:r>
            </w:hyperlink>
            <w:r>
              <w:rPr>
                <w:rStyle w:val="apple-converted-space"/>
                <w:b/>
                <w:bCs/>
              </w:rPr>
              <w:t> </w:t>
            </w:r>
            <w:r>
              <w:rPr>
                <w:b/>
                <w:bCs/>
              </w:rPr>
              <w:t>[</w:t>
            </w:r>
            <w:hyperlink r:id="rId109" w:history="1">
              <w:r>
                <w:rPr>
                  <w:rStyle w:val="Hyperlink"/>
                  <w:rFonts w:eastAsiaTheme="majorEastAsia"/>
                  <w:b/>
                  <w:bCs/>
                  <w:color w:val="663399"/>
                </w:rPr>
                <w:t>sec. 49(1)</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Cost to the previous owner shall be deemed to be the cost of acquisition in the hands of the taxpayer in cases where a capital asset becomes the property of the assessee under any of the modes given below:</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On any distribution of assets on the total or partial partition of a HUF</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Under a Gift or Will;</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c) By Succession, Inheritance or Devolution;</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d) On any distribution of assets on dissolution of a firm, BOI or AOP (where such dissolution had taken place at any time before the 01-04-1987);</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e) On any distribution of assets on liquidation of a company;</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f) Under a transfer to a revocable or an irrevocable trust;</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g) On any transfer in case of conversion of Firm or Sole proprietary concern into Company;</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h) By HUF where one of its members has converted his self-acquired property into joint family property.</w:t>
      </w:r>
    </w:p>
    <w:p w:rsidR="009D3A76" w:rsidRDefault="009D3A76" w:rsidP="009D3A76">
      <w:pPr>
        <w:pStyle w:val="tx"/>
        <w:shd w:val="clear" w:color="auto" w:fill="FFFFFF"/>
        <w:spacing w:before="0" w:beforeAutospacing="0" w:after="80" w:afterAutospacing="0"/>
        <w:jc w:val="both"/>
        <w:rPr>
          <w:color w:val="444444"/>
        </w:rPr>
      </w:pPr>
      <w:r>
        <w:rPr>
          <w:i/>
          <w:iCs/>
          <w:color w:val="444444"/>
        </w:rPr>
        <w:t>Note:</w:t>
      </w:r>
    </w:p>
    <w:p w:rsidR="009D3A76" w:rsidRDefault="009D3A76" w:rsidP="009D3A76">
      <w:pPr>
        <w:pStyle w:val="tx"/>
        <w:shd w:val="clear" w:color="auto" w:fill="FFFFFF"/>
        <w:spacing w:before="0" w:beforeAutospacing="0" w:after="80" w:afterAutospacing="0"/>
        <w:jc w:val="both"/>
        <w:rPr>
          <w:color w:val="444444"/>
        </w:rPr>
      </w:pPr>
      <w:r>
        <w:rPr>
          <w:color w:val="444444"/>
        </w:rPr>
        <w:t>Where previous owner has also acquired the property in the aforesaid manner the ‘previous owner’ of the property shall be construed as the last previous owner who acquired the property by means other than those stated above.</w:t>
      </w:r>
    </w:p>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443"/>
        <w:gridCol w:w="592"/>
      </w:tblGrid>
      <w:tr w:rsidR="009D3A76" w:rsidTr="009D3A76">
        <w:tc>
          <w:tcPr>
            <w:tcW w:w="0" w:type="auto"/>
            <w:hideMark/>
          </w:tcPr>
          <w:p w:rsidR="009D3A76" w:rsidRDefault="009D3A76">
            <w:pPr>
              <w:pStyle w:val="tx"/>
              <w:spacing w:before="0" w:beforeAutospacing="0" w:after="80" w:afterAutospacing="0"/>
              <w:jc w:val="both"/>
            </w:pPr>
            <w:hyperlink r:id="rId110" w:anchor="rfn13" w:history="1">
              <w:r>
                <w:rPr>
                  <w:rStyle w:val="Hyperlink"/>
                  <w:rFonts w:eastAsiaTheme="majorEastAsia"/>
                  <w:b/>
                  <w:bCs/>
                  <w:color w:val="663399"/>
                </w:rPr>
                <w:t>Cost of Improvement</w:t>
              </w:r>
            </w:hyperlink>
            <w:r>
              <w:rPr>
                <w:rStyle w:val="apple-converted-space"/>
                <w:b/>
                <w:bCs/>
              </w:rPr>
              <w:t> </w:t>
            </w:r>
            <w:r>
              <w:rPr>
                <w:b/>
                <w:bCs/>
              </w:rPr>
              <w:t>[</w:t>
            </w:r>
            <w:hyperlink r:id="rId111" w:history="1">
              <w:r>
                <w:rPr>
                  <w:rStyle w:val="Hyperlink"/>
                  <w:rFonts w:eastAsiaTheme="majorEastAsia"/>
                  <w:b/>
                  <w:bCs/>
                  <w:color w:val="663399"/>
                </w:rPr>
                <w:t>Sec. 55(1)(b)</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lastRenderedPageBreak/>
        <w:t>Cost of improvement, in relation to the capital assets shall include all capital expenditure incurred in making addition or alteration to the capital assets by the assessee or the previous owner. However, cost of improvement does not include any expenditure incurred prior to 01-04-1981. Cost of improvement shall be computed in the following manner:</w:t>
      </w:r>
    </w:p>
    <w:tbl>
      <w:tblPr>
        <w:tblW w:w="5000" w:type="pct"/>
        <w:tblCellMar>
          <w:top w:w="60" w:type="dxa"/>
          <w:left w:w="60" w:type="dxa"/>
          <w:bottom w:w="60" w:type="dxa"/>
          <w:right w:w="60" w:type="dxa"/>
        </w:tblCellMar>
        <w:tblLook w:val="04A0" w:firstRow="1" w:lastRow="0" w:firstColumn="1" w:lastColumn="0" w:noHBand="0" w:noVBand="1"/>
      </w:tblPr>
      <w:tblGrid>
        <w:gridCol w:w="474"/>
        <w:gridCol w:w="5122"/>
        <w:gridCol w:w="3414"/>
      </w:tblGrid>
      <w:tr w:rsidR="009D3A76" w:rsidTr="00DB632C">
        <w:tc>
          <w:tcPr>
            <w:tcW w:w="1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S. No.</w:t>
            </w:r>
          </w:p>
        </w:tc>
        <w:tc>
          <w:tcPr>
            <w:tcW w:w="288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Particular</w:t>
            </w:r>
          </w:p>
        </w:tc>
        <w:tc>
          <w:tcPr>
            <w:tcW w:w="194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rPr>
                <w:b/>
                <w:bCs/>
              </w:rPr>
              <w:t>Cost of Improvement</w:t>
            </w:r>
          </w:p>
        </w:tc>
      </w:tr>
      <w:tr w:rsidR="009D3A76" w:rsidTr="00DB632C">
        <w:tc>
          <w:tcPr>
            <w:tcW w:w="1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1.</w:t>
            </w:r>
          </w:p>
        </w:tc>
        <w:tc>
          <w:tcPr>
            <w:tcW w:w="288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In relation to goodwill of a business, right to manufacture, produce any article or thing or right to carry on business</w:t>
            </w:r>
            <w:r>
              <w:rPr>
                <w:rStyle w:val="apple-converted-space"/>
              </w:rPr>
              <w:t> </w:t>
            </w:r>
            <w:r>
              <w:rPr>
                <w:b/>
                <w:bCs/>
              </w:rPr>
              <w:t>or profession</w:t>
            </w:r>
          </w:p>
        </w:tc>
        <w:tc>
          <w:tcPr>
            <w:tcW w:w="194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rPr>
                <w:i/>
                <w:iCs/>
              </w:rPr>
              <w:t>Nil</w:t>
            </w:r>
          </w:p>
        </w:tc>
      </w:tr>
      <w:tr w:rsidR="009D3A76" w:rsidTr="00DB632C">
        <w:tc>
          <w:tcPr>
            <w:tcW w:w="1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2.</w:t>
            </w:r>
          </w:p>
        </w:tc>
        <w:tc>
          <w:tcPr>
            <w:tcW w:w="288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In relation to capital asset which becomes property of the assessee or previous owner before 01-04-1981</w:t>
            </w:r>
          </w:p>
        </w:tc>
        <w:tc>
          <w:tcPr>
            <w:tcW w:w="194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expenditure of capital nature incurred on or after 01-04-1981</w:t>
            </w:r>
          </w:p>
        </w:tc>
      </w:tr>
      <w:tr w:rsidR="009D3A76" w:rsidTr="00DB632C">
        <w:tc>
          <w:tcPr>
            <w:tcW w:w="1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3.</w:t>
            </w:r>
          </w:p>
        </w:tc>
        <w:tc>
          <w:tcPr>
            <w:tcW w:w="288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In relation to capital asset which becomes property of the assessee or previous owner before 01.04.1981 by way of any mode specified under</w:t>
            </w:r>
            <w:r>
              <w:rPr>
                <w:rStyle w:val="apple-converted-space"/>
              </w:rPr>
              <w:t> </w:t>
            </w:r>
            <w:hyperlink r:id="rId112" w:history="1">
              <w:r>
                <w:rPr>
                  <w:rStyle w:val="Hyperlink"/>
                  <w:rFonts w:eastAsiaTheme="majorEastAsia"/>
                  <w:color w:val="663399"/>
                </w:rPr>
                <w:t>Section 49(1)</w:t>
              </w:r>
            </w:hyperlink>
          </w:p>
        </w:tc>
        <w:tc>
          <w:tcPr>
            <w:tcW w:w="194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expenditure of capital nature incurred on or after 01-04-1981 by the assessee or the previous owner</w:t>
            </w:r>
          </w:p>
        </w:tc>
      </w:tr>
      <w:tr w:rsidR="009D3A76" w:rsidTr="00DB632C">
        <w:tc>
          <w:tcPr>
            <w:tcW w:w="1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4.</w:t>
            </w:r>
          </w:p>
        </w:tc>
        <w:tc>
          <w:tcPr>
            <w:tcW w:w="288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In relation to capital asset which becomes property of the assessee or previous owner on or after 01.04.1981</w:t>
            </w:r>
          </w:p>
        </w:tc>
        <w:tc>
          <w:tcPr>
            <w:tcW w:w="194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expenditure of capital nature incurred by the assessee or the previous owner</w:t>
            </w:r>
          </w:p>
        </w:tc>
      </w:tr>
      <w:tr w:rsidR="009D3A76" w:rsidTr="00DB632C">
        <w:tc>
          <w:tcPr>
            <w:tcW w:w="17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center"/>
            </w:pPr>
            <w:r>
              <w:t>5.</w:t>
            </w:r>
          </w:p>
        </w:tc>
        <w:tc>
          <w:tcPr>
            <w:tcW w:w="288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In relation to capital asset which becomes property of the assessee or previous owner on or after 01-04-1981 by way of any mode specified under</w:t>
            </w:r>
            <w:r>
              <w:rPr>
                <w:rStyle w:val="apple-converted-space"/>
              </w:rPr>
              <w:t> </w:t>
            </w:r>
            <w:hyperlink r:id="rId113" w:history="1">
              <w:r>
                <w:rPr>
                  <w:rStyle w:val="Hyperlink"/>
                  <w:rFonts w:eastAsiaTheme="majorEastAsia"/>
                  <w:color w:val="663399"/>
                </w:rPr>
                <w:t>Section 49(1)</w:t>
              </w:r>
            </w:hyperlink>
          </w:p>
        </w:tc>
        <w:tc>
          <w:tcPr>
            <w:tcW w:w="1941"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jc w:val="both"/>
            </w:pPr>
            <w:r>
              <w:t>Any expenditure of capital nature incurred by the assessee or the previous owner</w:t>
            </w:r>
          </w:p>
        </w:tc>
      </w:tr>
    </w:tbl>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313"/>
        <w:gridCol w:w="722"/>
      </w:tblGrid>
      <w:tr w:rsidR="009D3A76" w:rsidTr="009D3A76">
        <w:tc>
          <w:tcPr>
            <w:tcW w:w="0" w:type="auto"/>
            <w:hideMark/>
          </w:tcPr>
          <w:p w:rsidR="009D3A76" w:rsidRDefault="009D3A76">
            <w:pPr>
              <w:pStyle w:val="tx"/>
              <w:spacing w:before="0" w:beforeAutospacing="0" w:after="80" w:afterAutospacing="0"/>
              <w:jc w:val="both"/>
            </w:pPr>
            <w:hyperlink r:id="rId114" w:anchor="rfn14" w:history="1">
              <w:r>
                <w:rPr>
                  <w:rStyle w:val="Hyperlink"/>
                  <w:rFonts w:eastAsiaTheme="majorEastAsia"/>
                  <w:b/>
                  <w:bCs/>
                  <w:color w:val="663399"/>
                </w:rPr>
                <w:t>Rates of tax on capital gains:</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b/>
          <w:bCs/>
          <w:color w:val="444444"/>
        </w:rPr>
        <w:t>1. Short Term Capital Gains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Short-term capital gains shall be included in the gross total income of the taxpayer and will be taxed at the normal rates;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Short-term capital gains arising from transfer of Equity Shares, Units of an Equity Oriented Funds or a unit of a business trust which is chargeable to securities transaction tax shall be taxed at 15% under Section 111A;</w:t>
      </w:r>
    </w:p>
    <w:p w:rsidR="009D3A76" w:rsidRDefault="009D3A76" w:rsidP="009D3A76">
      <w:pPr>
        <w:pStyle w:val="tx"/>
        <w:shd w:val="clear" w:color="auto" w:fill="FFFFFF"/>
        <w:spacing w:before="0" w:beforeAutospacing="0" w:after="80" w:afterAutospacing="0"/>
        <w:jc w:val="both"/>
        <w:rPr>
          <w:color w:val="444444"/>
        </w:rPr>
      </w:pPr>
      <w:r>
        <w:rPr>
          <w:color w:val="444444"/>
        </w:rPr>
        <w:t>Note:-</w:t>
      </w:r>
    </w:p>
    <w:p w:rsidR="009D3A76" w:rsidRDefault="009D3A76" w:rsidP="009D3A76">
      <w:pPr>
        <w:pStyle w:val="tx"/>
        <w:shd w:val="clear" w:color="auto" w:fill="FFFFFF"/>
        <w:spacing w:before="0" w:beforeAutospacing="0" w:after="80" w:afterAutospacing="0"/>
        <w:jc w:val="both"/>
        <w:rPr>
          <w:color w:val="444444"/>
        </w:rPr>
      </w:pPr>
      <w:r>
        <w:rPr>
          <w:color w:val="444444"/>
        </w:rPr>
        <w:t>Now benefit of reduced rate of tax (i.e., 15%) shall be available w.e.f. 1-4-2016 even in respect of income arising from transfer of units of a business trust which were acquired by assessee in lieu of shares of special purpose vehicle as referred to in section 47(xvii).</w:t>
      </w:r>
    </w:p>
    <w:p w:rsidR="009D3A76" w:rsidRDefault="009D3A76" w:rsidP="009D3A76">
      <w:pPr>
        <w:pStyle w:val="tx"/>
        <w:shd w:val="clear" w:color="auto" w:fill="FFFFFF"/>
        <w:spacing w:before="0" w:beforeAutospacing="0" w:after="80" w:afterAutospacing="0"/>
        <w:jc w:val="both"/>
        <w:rPr>
          <w:color w:val="444444"/>
        </w:rPr>
      </w:pPr>
      <w:r>
        <w:rPr>
          <w:b/>
          <w:bCs/>
          <w:color w:val="444444"/>
        </w:rPr>
        <w:lastRenderedPageBreak/>
        <w:t>2. Long Term Capital Gains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Long-term capital gains are subject to tax at 20%;</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Long-term capital gains arising from transfer of listed securities, units or a zero coupon bonds shall be taxable at lower of following:</w:t>
      </w:r>
    </w:p>
    <w:p w:rsidR="009D3A76" w:rsidRDefault="009D3A76" w:rsidP="009D3A76">
      <w:pPr>
        <w:pStyle w:val="indent2"/>
        <w:shd w:val="clear" w:color="auto" w:fill="FFFFFF"/>
        <w:spacing w:before="0" w:beforeAutospacing="0" w:after="80" w:afterAutospacing="0"/>
        <w:ind w:left="1247" w:hanging="454"/>
        <w:jc w:val="both"/>
        <w:rPr>
          <w:color w:val="444444"/>
        </w:rPr>
      </w:pPr>
      <w:proofErr w:type="gramStart"/>
      <w:r>
        <w:rPr>
          <w:color w:val="444444"/>
        </w:rPr>
        <w:t>i. 20</w:t>
      </w:r>
      <w:proofErr w:type="gramEnd"/>
      <w:r>
        <w:rPr>
          <w:color w:val="444444"/>
        </w:rPr>
        <w:t>% after taking benefit of indexation; or</w:t>
      </w:r>
    </w:p>
    <w:p w:rsidR="009D3A76" w:rsidRDefault="009D3A76" w:rsidP="009D3A76">
      <w:pPr>
        <w:pStyle w:val="indent2"/>
        <w:shd w:val="clear" w:color="auto" w:fill="FFFFFF"/>
        <w:spacing w:before="0" w:beforeAutospacing="0" w:after="80" w:afterAutospacing="0"/>
        <w:ind w:left="1247" w:hanging="454"/>
        <w:jc w:val="both"/>
        <w:rPr>
          <w:color w:val="444444"/>
        </w:rPr>
      </w:pPr>
      <w:proofErr w:type="gramStart"/>
      <w:r>
        <w:rPr>
          <w:color w:val="444444"/>
        </w:rPr>
        <w:t>ii. 10</w:t>
      </w:r>
      <w:proofErr w:type="gramEnd"/>
      <w:r>
        <w:rPr>
          <w:color w:val="444444"/>
        </w:rPr>
        <w:t>% without taking benefit of indexation.</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c) Long-term capital gains arising from transfer of listed securities, units of equity oriented or a unit of business trust which is chargeable to STT shall be exempt from tax under Section 10(38).</w:t>
      </w:r>
    </w:p>
    <w:p w:rsidR="009D3A76" w:rsidRDefault="009D3A76" w:rsidP="009D3A76">
      <w:pPr>
        <w:pStyle w:val="tx"/>
        <w:shd w:val="clear" w:color="auto" w:fill="FFFFFF"/>
        <w:spacing w:before="0" w:beforeAutospacing="0" w:after="80" w:afterAutospacing="0"/>
        <w:jc w:val="both"/>
        <w:rPr>
          <w:color w:val="444444"/>
        </w:rPr>
      </w:pPr>
      <w:r>
        <w:rPr>
          <w:color w:val="444444"/>
        </w:rPr>
        <w:t>Note:</w:t>
      </w:r>
    </w:p>
    <w:p w:rsidR="009D3A76" w:rsidRDefault="009D3A76" w:rsidP="009D3A76">
      <w:pPr>
        <w:pStyle w:val="tx"/>
        <w:shd w:val="clear" w:color="auto" w:fill="FFFFFF"/>
        <w:spacing w:before="0" w:beforeAutospacing="0" w:after="80" w:afterAutospacing="0"/>
        <w:jc w:val="both"/>
        <w:rPr>
          <w:color w:val="444444"/>
        </w:rPr>
      </w:pPr>
      <w:r>
        <w:rPr>
          <w:color w:val="444444"/>
        </w:rPr>
        <w:t>1. Now exemption from capital gains under Section 10(38) shall be available w.e.f. 1-4-2016 even in respect of long-term capital gains arising from transfer of units of a business trust which were acquired in lieu of shares of special purpose vehicle as referred to in section 47(xvii) and on which securities transaction tax has been paid.</w:t>
      </w:r>
    </w:p>
    <w:p w:rsidR="009D3A76" w:rsidRDefault="009D3A76" w:rsidP="009D3A76">
      <w:pPr>
        <w:pStyle w:val="tx"/>
        <w:shd w:val="clear" w:color="auto" w:fill="FFFFFF"/>
        <w:spacing w:before="0" w:beforeAutospacing="0" w:after="80" w:afterAutospacing="0"/>
        <w:jc w:val="both"/>
        <w:rPr>
          <w:color w:val="444444"/>
        </w:rPr>
      </w:pPr>
      <w:r>
        <w:rPr>
          <w:color w:val="444444"/>
        </w:rPr>
        <w:t>2. Now exemption from long term capital gains under section 10(38) shall be available w.e.f April 1, 2017 even where STT is not paid, provided that -</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 xml:space="preserve">  -  </w:t>
      </w:r>
      <w:proofErr w:type="gramStart"/>
      <w:r>
        <w:rPr>
          <w:color w:val="444444"/>
        </w:rPr>
        <w:t>transaction</w:t>
      </w:r>
      <w:proofErr w:type="gramEnd"/>
      <w:r>
        <w:rPr>
          <w:color w:val="444444"/>
        </w:rPr>
        <w:t xml:space="preserve"> is undertaken on a recognised stock exchange located in any International Financial Service Centre, and</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 xml:space="preserve">  -  </w:t>
      </w:r>
      <w:proofErr w:type="gramStart"/>
      <w:r>
        <w:rPr>
          <w:color w:val="444444"/>
        </w:rPr>
        <w:t>consideration</w:t>
      </w:r>
      <w:proofErr w:type="gramEnd"/>
      <w:r>
        <w:rPr>
          <w:color w:val="444444"/>
        </w:rPr>
        <w:t xml:space="preserve"> is paid or payable in foreign currency</w:t>
      </w:r>
    </w:p>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539"/>
        <w:gridCol w:w="496"/>
      </w:tblGrid>
      <w:tr w:rsidR="009D3A76" w:rsidTr="009D3A76">
        <w:tc>
          <w:tcPr>
            <w:tcW w:w="0" w:type="auto"/>
            <w:hideMark/>
          </w:tcPr>
          <w:p w:rsidR="009D3A76" w:rsidRDefault="009D3A76">
            <w:pPr>
              <w:pStyle w:val="tx"/>
              <w:spacing w:before="0" w:beforeAutospacing="0" w:after="80" w:afterAutospacing="0"/>
              <w:jc w:val="both"/>
            </w:pPr>
            <w:hyperlink r:id="rId115" w:anchor="rfn15" w:history="1">
              <w:r>
                <w:rPr>
                  <w:rStyle w:val="Hyperlink"/>
                  <w:rFonts w:eastAsiaTheme="majorEastAsia"/>
                  <w:b/>
                  <w:bCs/>
                  <w:color w:val="663399"/>
                </w:rPr>
                <w:t>Reference to valuation officer</w:t>
              </w:r>
            </w:hyperlink>
            <w:r>
              <w:rPr>
                <w:rStyle w:val="apple-converted-space"/>
                <w:b/>
                <w:bCs/>
              </w:rPr>
              <w:t> </w:t>
            </w:r>
            <w:r>
              <w:rPr>
                <w:b/>
                <w:bCs/>
              </w:rPr>
              <w:t>[</w:t>
            </w:r>
            <w:hyperlink r:id="rId116" w:history="1">
              <w:r>
                <w:rPr>
                  <w:rStyle w:val="Hyperlink"/>
                  <w:rFonts w:eastAsiaTheme="majorEastAsia"/>
                  <w:b/>
                  <w:bCs/>
                  <w:color w:val="663399"/>
                </w:rPr>
                <w:t>Section 55A</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tx"/>
        <w:shd w:val="clear" w:color="auto" w:fill="FFFFFF"/>
        <w:spacing w:before="0" w:beforeAutospacing="0" w:after="80" w:afterAutospacing="0"/>
        <w:jc w:val="both"/>
        <w:rPr>
          <w:color w:val="444444"/>
        </w:rPr>
      </w:pPr>
      <w:r>
        <w:rPr>
          <w:color w:val="444444"/>
        </w:rPr>
        <w:t>With a view to ascertaining the fair market value of a capital asset, the concerned Assessing Officer may refer the valuation of the capital asset to a Valuation Officer appointed by the Income-tax Department in the following cases:</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1)  Where the value of the asset as claimed by the assessee is in accordance with the estimate made by a registered valuer (who works in a private capacity under a licence issued by the Board and his valuation is not binding on the Assessing Officer), but the Assessing Officer is of opinion that the value so claimed is at variance with the fair market value of the asset;</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2)  Where the Assessing Officer is of opinion that the fair market value of the asset exceeds the value of the asset by more than Rs. 25,000 or 15 per cent of the value claimed by the assessee, whichever is less; or</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3)  Where the Assessing Officer is of opinion that, having regard to nature of an asset and relevant circumstances, it is necessary to make a reference to the Valuation Officer</w:t>
      </w:r>
    </w:p>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528"/>
        <w:gridCol w:w="507"/>
      </w:tblGrid>
      <w:tr w:rsidR="009D3A76" w:rsidTr="009D3A76">
        <w:tc>
          <w:tcPr>
            <w:tcW w:w="0" w:type="auto"/>
            <w:hideMark/>
          </w:tcPr>
          <w:p w:rsidR="009D3A76" w:rsidRDefault="009D3A76">
            <w:pPr>
              <w:pStyle w:val="tx"/>
              <w:spacing w:before="0" w:beforeAutospacing="0" w:after="80" w:afterAutospacing="0"/>
              <w:jc w:val="both"/>
            </w:pPr>
            <w:hyperlink r:id="rId117" w:anchor="rfn16" w:history="1">
              <w:r>
                <w:rPr>
                  <w:rStyle w:val="Hyperlink"/>
                  <w:rFonts w:eastAsiaTheme="majorEastAsia"/>
                  <w:b/>
                  <w:bCs/>
                  <w:color w:val="663399"/>
                </w:rPr>
                <w:t>Deduction/ Exemption under Capital Gain</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shd w:val="clear" w:color="auto" w:fill="FFFFFF"/>
        <w:rPr>
          <w:rFonts w:ascii="Segoe UI" w:hAnsi="Segoe UI" w:cs="Segoe UI"/>
          <w:vanish/>
          <w:color w:val="444444"/>
          <w:sz w:val="20"/>
          <w:szCs w:val="20"/>
        </w:rPr>
      </w:pPr>
    </w:p>
    <w:tbl>
      <w:tblPr>
        <w:tblW w:w="5350" w:type="pct"/>
        <w:tblInd w:w="-150" w:type="dxa"/>
        <w:tblLayout w:type="fixed"/>
        <w:tblCellMar>
          <w:top w:w="60" w:type="dxa"/>
          <w:left w:w="60" w:type="dxa"/>
          <w:bottom w:w="60" w:type="dxa"/>
          <w:right w:w="60" w:type="dxa"/>
        </w:tblCellMar>
        <w:tblLook w:val="04A0" w:firstRow="1" w:lastRow="0" w:firstColumn="1" w:lastColumn="0" w:noHBand="0" w:noVBand="1"/>
      </w:tblPr>
      <w:tblGrid>
        <w:gridCol w:w="992"/>
        <w:gridCol w:w="791"/>
        <w:gridCol w:w="833"/>
        <w:gridCol w:w="929"/>
        <w:gridCol w:w="767"/>
        <w:gridCol w:w="922"/>
        <w:gridCol w:w="1311"/>
        <w:gridCol w:w="816"/>
        <w:gridCol w:w="816"/>
        <w:gridCol w:w="1464"/>
      </w:tblGrid>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t>Particulars</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18" w:history="1">
              <w:r>
                <w:rPr>
                  <w:rStyle w:val="Hyperlink"/>
                  <w:rFonts w:eastAsiaTheme="majorEastAsia"/>
                  <w:b/>
                  <w:bCs/>
                  <w:color w:val="663399"/>
                  <w:sz w:val="16"/>
                  <w:szCs w:val="16"/>
                </w:rPr>
                <w:t>Section 54</w:t>
              </w:r>
            </w:hyperlink>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19" w:history="1">
              <w:r>
                <w:rPr>
                  <w:rStyle w:val="Hyperlink"/>
                  <w:rFonts w:eastAsiaTheme="majorEastAsia"/>
                  <w:b/>
                  <w:bCs/>
                  <w:color w:val="663399"/>
                  <w:sz w:val="16"/>
                  <w:szCs w:val="16"/>
                </w:rPr>
                <w:t>Section 54B</w:t>
              </w:r>
            </w:hyperlink>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20" w:history="1">
              <w:r>
                <w:rPr>
                  <w:rStyle w:val="Hyperlink"/>
                  <w:rFonts w:eastAsiaTheme="majorEastAsia"/>
                  <w:b/>
                  <w:bCs/>
                  <w:color w:val="663399"/>
                  <w:sz w:val="16"/>
                  <w:szCs w:val="16"/>
                </w:rPr>
                <w:t>Section 54D</w:t>
              </w:r>
            </w:hyperlink>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21" w:history="1">
              <w:r>
                <w:rPr>
                  <w:rStyle w:val="Hyperlink"/>
                  <w:rFonts w:eastAsiaTheme="majorEastAsia"/>
                  <w:b/>
                  <w:bCs/>
                  <w:color w:val="663399"/>
                  <w:sz w:val="16"/>
                  <w:szCs w:val="16"/>
                </w:rPr>
                <w:t>Section 54EC</w:t>
              </w:r>
            </w:hyperlink>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hyperlink r:id="rId122" w:history="1">
              <w:r>
                <w:rPr>
                  <w:rStyle w:val="Hyperlink"/>
                  <w:color w:val="663399"/>
                  <w:sz w:val="16"/>
                  <w:szCs w:val="16"/>
                </w:rPr>
                <w:t>Section 54EE</w:t>
              </w:r>
            </w:hyperlink>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23" w:history="1">
              <w:r>
                <w:rPr>
                  <w:rStyle w:val="Hyperlink"/>
                  <w:rFonts w:eastAsiaTheme="majorEastAsia"/>
                  <w:b/>
                  <w:bCs/>
                  <w:color w:val="663399"/>
                  <w:sz w:val="16"/>
                  <w:szCs w:val="16"/>
                </w:rPr>
                <w:t>Section 54F</w:t>
              </w:r>
            </w:hyperlink>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24" w:history="1">
              <w:r>
                <w:rPr>
                  <w:rStyle w:val="Hyperlink"/>
                  <w:rFonts w:eastAsiaTheme="majorEastAsia"/>
                  <w:b/>
                  <w:bCs/>
                  <w:color w:val="663399"/>
                  <w:sz w:val="16"/>
                  <w:szCs w:val="16"/>
                </w:rPr>
                <w:t>Section 54G</w:t>
              </w:r>
            </w:hyperlink>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25" w:history="1">
              <w:r>
                <w:rPr>
                  <w:rStyle w:val="Hyperlink"/>
                  <w:rFonts w:eastAsiaTheme="majorEastAsia"/>
                  <w:b/>
                  <w:bCs/>
                  <w:color w:val="663399"/>
                  <w:sz w:val="16"/>
                  <w:szCs w:val="16"/>
                </w:rPr>
                <w:t>Section 54GA</w:t>
              </w:r>
            </w:hyperlink>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hyperlink r:id="rId126" w:history="1">
              <w:r>
                <w:rPr>
                  <w:rStyle w:val="Hyperlink"/>
                  <w:rFonts w:eastAsiaTheme="majorEastAsia"/>
                  <w:b/>
                  <w:bCs/>
                  <w:color w:val="663399"/>
                  <w:sz w:val="16"/>
                  <w:szCs w:val="16"/>
                </w:rPr>
                <w:t>Section 54GB</w:t>
              </w:r>
            </w:hyperlink>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t>Eligible taxpayers</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Individual and HUF</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Individual and HUF</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Any person</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Any person</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Any Person</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Individual and HUF</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Any person</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Any person</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Individual and HUF</w:t>
            </w:r>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t>Capital gains eligible for exemption</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Long-term</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Short-term or Long-term</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Short-term or Long-term</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Long-term</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Long-term</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Long-term</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Short-term or Long-term</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Short-term or Long-term</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Long-term</w:t>
            </w:r>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t>Capital gains arising from transfer of</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Residential House property</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Agriculture land used by taxpayer or by his parents or HUF for agriculture purposes in last 2 years before its transfer</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Compulsory acquisition of land or building forming part of industrial undertaking (which was used for industrial purposes for at least 2 years before its acquisition).</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Any long-term capital asset</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Any long-term capital asset</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Any long term asset (other than a residential house property) provided on date of transfer taxpayer does not own more than one residential house property (except the new house)</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Land, building, plant or machinery, in order to shift industrial undertaking from urban area to rural area.</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Land, building, plant or machinery, in order to shift industrial undertaking from urban area to SEZ.</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Residential property (house or a plot of land</w:t>
            </w:r>
            <w:proofErr w:type="gramStart"/>
            <w:r>
              <w:rPr>
                <w:sz w:val="16"/>
                <w:szCs w:val="16"/>
              </w:rPr>
              <w:t>)</w:t>
            </w:r>
            <w:proofErr w:type="gramEnd"/>
            <w:r>
              <w:rPr>
                <w:sz w:val="16"/>
                <w:szCs w:val="16"/>
              </w:rPr>
              <w:br/>
              <w:t>Note:</w:t>
            </w:r>
            <w:r>
              <w:rPr>
                <w:rStyle w:val="apple-converted-space"/>
                <w:sz w:val="16"/>
                <w:szCs w:val="16"/>
              </w:rPr>
              <w:t> </w:t>
            </w:r>
            <w:r>
              <w:rPr>
                <w:sz w:val="16"/>
                <w:szCs w:val="16"/>
              </w:rPr>
              <w:br/>
              <w:t>Provisions of this section shall not apply to any transfer of residential property made after March 31, 2017. However, in case of an investment in eligible start-up, the residential property can be transferred up to March 31, 2019.</w:t>
            </w:r>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t>Assets to be acquired for exemption</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One residential house property</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Agricultural land (may be in urban area or rural area)</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 xml:space="preserve">Land or building for shifting or </w:t>
            </w:r>
            <w:r w:rsidR="00DB632C">
              <w:rPr>
                <w:sz w:val="16"/>
                <w:szCs w:val="16"/>
              </w:rPr>
              <w:t>re-establishing</w:t>
            </w:r>
            <w:r>
              <w:rPr>
                <w:sz w:val="16"/>
                <w:szCs w:val="16"/>
              </w:rPr>
              <w:t xml:space="preserve"> said industrial undertaking</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Bond of NHAI or REC, etc.</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Units of such fund as may be notified by Central Government to finance start-ups</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One residential house property</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Land, building, plant or machinery, in order to shift industrial undertaking to rural area.</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Land, building, plant or machinery, in order to shift industrial undertaking to SEZ.</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Subscription in equity shares of an eligible company.</w:t>
            </w:r>
            <w:r>
              <w:rPr>
                <w:rStyle w:val="apple-converted-space"/>
                <w:sz w:val="16"/>
                <w:szCs w:val="16"/>
              </w:rPr>
              <w:t> </w:t>
            </w:r>
            <w:r>
              <w:rPr>
                <w:sz w:val="16"/>
                <w:szCs w:val="16"/>
              </w:rPr>
              <w:br/>
            </w:r>
            <w:r>
              <w:rPr>
                <w:b/>
                <w:bCs/>
                <w:sz w:val="16"/>
                <w:szCs w:val="16"/>
              </w:rPr>
              <w:t>Note:</w:t>
            </w:r>
            <w:r>
              <w:rPr>
                <w:rStyle w:val="apple-converted-space"/>
                <w:sz w:val="16"/>
                <w:szCs w:val="16"/>
              </w:rPr>
              <w:t> </w:t>
            </w:r>
            <w:r>
              <w:rPr>
                <w:sz w:val="16"/>
                <w:szCs w:val="16"/>
              </w:rPr>
              <w:br/>
              <w:t>1. W.e.f. April 1, 2017, eligible start-up is also included in definition of eligible company.</w:t>
            </w:r>
            <w:r>
              <w:rPr>
                <w:rStyle w:val="apple-converted-space"/>
                <w:sz w:val="16"/>
                <w:szCs w:val="16"/>
              </w:rPr>
              <w:t> </w:t>
            </w:r>
            <w:r>
              <w:rPr>
                <w:sz w:val="16"/>
                <w:szCs w:val="16"/>
              </w:rPr>
              <w:br/>
              <w:t xml:space="preserve">2. The eligible company should utilize the amount of subscription for purchase of new assets (i.e., plant and machinery except vehicle, office appliances, computer or computer software etc.). However, In the case of eligible </w:t>
            </w:r>
            <w:proofErr w:type="spellStart"/>
            <w:r>
              <w:rPr>
                <w:sz w:val="16"/>
                <w:szCs w:val="16"/>
              </w:rPr>
              <w:lastRenderedPageBreak/>
              <w:t>startup</w:t>
            </w:r>
            <w:proofErr w:type="spellEnd"/>
            <w:r>
              <w:rPr>
                <w:sz w:val="16"/>
                <w:szCs w:val="16"/>
              </w:rPr>
              <w:t>, the new asset shall include computers or computer software.</w:t>
            </w:r>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lastRenderedPageBreak/>
              <w:t>Time limit for acquiring the new assets</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Purchase: within 1 year before or 2 years after date of transfer</w:t>
            </w:r>
          </w:p>
          <w:p w:rsidR="009D3A76" w:rsidRDefault="009D3A76">
            <w:pPr>
              <w:pStyle w:val="tx"/>
              <w:spacing w:before="0" w:beforeAutospacing="0" w:after="80" w:afterAutospacing="0"/>
              <w:rPr>
                <w:sz w:val="16"/>
                <w:szCs w:val="16"/>
              </w:rPr>
            </w:pPr>
            <w:r>
              <w:rPr>
                <w:sz w:val="16"/>
                <w:szCs w:val="16"/>
              </w:rPr>
              <w:t>Construction: within 3 years after date of transfer</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Within 2 years after date of transfer</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Within 3 years from date of receipt of compensation</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Within 6 months from date of transfer</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Within 6 months after the date of transfer of original asset</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Purchase: within 1 year before or within 2 years after date of transfer</w:t>
            </w:r>
          </w:p>
          <w:p w:rsidR="009D3A76" w:rsidRDefault="009D3A76">
            <w:pPr>
              <w:pStyle w:val="tx"/>
              <w:spacing w:before="0" w:beforeAutospacing="0" w:after="80" w:afterAutospacing="0"/>
              <w:rPr>
                <w:sz w:val="16"/>
                <w:szCs w:val="16"/>
              </w:rPr>
            </w:pPr>
            <w:r>
              <w:rPr>
                <w:sz w:val="16"/>
                <w:szCs w:val="16"/>
              </w:rPr>
              <w:t>Construction: within 3 years after date of transfer</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within 1 year before or 3 years after date of transfer</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Within 1 year before or within 3 years after date of transfer</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Investment by the assessee -</w:t>
            </w:r>
            <w:r>
              <w:rPr>
                <w:sz w:val="16"/>
                <w:szCs w:val="16"/>
              </w:rPr>
              <w:br/>
              <w:t>Before due date for furnishing of return under Sec. 139(1).</w:t>
            </w:r>
            <w:r>
              <w:rPr>
                <w:rStyle w:val="apple-converted-space"/>
                <w:sz w:val="16"/>
                <w:szCs w:val="16"/>
              </w:rPr>
              <w:t> </w:t>
            </w:r>
            <w:r>
              <w:rPr>
                <w:sz w:val="16"/>
                <w:szCs w:val="16"/>
              </w:rPr>
              <w:br/>
              <w:t>Investment by the company - within 1 year from date of subscription.</w:t>
            </w:r>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t>Exemption Amount</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Investment in new assets or capital gain, whichever is lower</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Investment in agricultural land or capital gain, whichever is lower</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Investment in new assets or capital gain, whichever is lower</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Investment in new assets or capital gains, whichever is lower, however, subject to Rs. 50 lakhs.</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rPr>
                <w:sz w:val="16"/>
                <w:szCs w:val="16"/>
              </w:rPr>
            </w:pPr>
            <w:r>
              <w:rPr>
                <w:sz w:val="16"/>
                <w:szCs w:val="16"/>
              </w:rPr>
              <w:t>Investment in new assets or capital gains, whichever is lower, however, subject to Rs. 50 lakhs.</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Investment in new assets X capital gain/net consideration</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Investment in new assets or capital gain, whichever is lower</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Investment in new assets or capital gain, whichever is lower</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Investment in new assets X capital gain/net consideration</w:t>
            </w:r>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t>Withdrawal of exemption</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If new asset is transferred within 3 years of its acquisition</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If new asset is transferred within 3 years of its acquisition</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If new asset is transferred within 3 years of its acquisition</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If new asset is transferred or it is converted into money or a loan is taken on its security</w:t>
            </w:r>
          </w:p>
          <w:p w:rsidR="009D3A76" w:rsidRDefault="009D3A76">
            <w:pPr>
              <w:pStyle w:val="tx"/>
              <w:spacing w:before="0" w:beforeAutospacing="0" w:after="80" w:afterAutospacing="0"/>
              <w:rPr>
                <w:sz w:val="16"/>
                <w:szCs w:val="16"/>
              </w:rPr>
            </w:pPr>
            <w:r>
              <w:rPr>
                <w:sz w:val="16"/>
                <w:szCs w:val="16"/>
              </w:rPr>
              <w:t>within 3 years of its acquisition</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rPr>
                <w:sz w:val="16"/>
                <w:szCs w:val="16"/>
              </w:rPr>
            </w:pPr>
            <w:r>
              <w:rPr>
                <w:sz w:val="16"/>
                <w:szCs w:val="16"/>
              </w:rPr>
              <w:t>If new asset is transferred within a period of 3 years from the date of its acquisition.</w:t>
            </w:r>
            <w:r>
              <w:rPr>
                <w:sz w:val="16"/>
                <w:szCs w:val="16"/>
              </w:rPr>
              <w:br/>
            </w:r>
            <w:r>
              <w:rPr>
                <w:b/>
                <w:bCs/>
                <w:sz w:val="16"/>
                <w:szCs w:val="16"/>
              </w:rPr>
              <w:t>Note:</w:t>
            </w:r>
            <w:r>
              <w:rPr>
                <w:rStyle w:val="apple-converted-space"/>
                <w:sz w:val="16"/>
                <w:szCs w:val="16"/>
              </w:rPr>
              <w:t> </w:t>
            </w:r>
            <w:r>
              <w:rPr>
                <w:sz w:val="16"/>
                <w:szCs w:val="16"/>
              </w:rPr>
              <w:br/>
              <w:t xml:space="preserve">Where assessee takes loans or advance on security of such specified asset, he shall be deemed to have transferred such asset on the date on which such loan </w:t>
            </w:r>
            <w:r>
              <w:rPr>
                <w:sz w:val="16"/>
                <w:szCs w:val="16"/>
              </w:rPr>
              <w:lastRenderedPageBreak/>
              <w:t>or advance is taken.</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indent1"/>
              <w:spacing w:before="0" w:beforeAutospacing="0" w:after="80" w:afterAutospacing="0"/>
              <w:ind w:left="567" w:hanging="397"/>
              <w:rPr>
                <w:sz w:val="16"/>
                <w:szCs w:val="16"/>
              </w:rPr>
            </w:pPr>
            <w:r>
              <w:rPr>
                <w:sz w:val="16"/>
                <w:szCs w:val="16"/>
              </w:rPr>
              <w:lastRenderedPageBreak/>
              <w:t>a) If new asset is transferred within 3 years of acquisition,</w:t>
            </w:r>
          </w:p>
          <w:p w:rsidR="009D3A76" w:rsidRDefault="009D3A76">
            <w:pPr>
              <w:pStyle w:val="indent1"/>
              <w:spacing w:before="0" w:beforeAutospacing="0" w:after="80" w:afterAutospacing="0"/>
              <w:ind w:left="567" w:hanging="397"/>
              <w:rPr>
                <w:sz w:val="16"/>
                <w:szCs w:val="16"/>
              </w:rPr>
            </w:pPr>
            <w:r>
              <w:rPr>
                <w:sz w:val="16"/>
                <w:szCs w:val="16"/>
              </w:rPr>
              <w:t>b) if another residential house is purchased within 2 years of transfer of original asset;</w:t>
            </w:r>
          </w:p>
          <w:p w:rsidR="009D3A76" w:rsidRDefault="009D3A76">
            <w:pPr>
              <w:pStyle w:val="indent1"/>
              <w:spacing w:before="0" w:beforeAutospacing="0" w:after="80" w:afterAutospacing="0"/>
              <w:ind w:left="567" w:hanging="397"/>
              <w:rPr>
                <w:sz w:val="16"/>
                <w:szCs w:val="16"/>
              </w:rPr>
            </w:pPr>
            <w:r>
              <w:rPr>
                <w:sz w:val="16"/>
                <w:szCs w:val="16"/>
              </w:rPr>
              <w:t>c) if another house is constructed within</w:t>
            </w:r>
          </w:p>
          <w:p w:rsidR="009D3A76" w:rsidRDefault="009D3A76">
            <w:pPr>
              <w:pStyle w:val="tx"/>
              <w:spacing w:before="0" w:beforeAutospacing="0" w:after="80" w:afterAutospacing="0"/>
              <w:rPr>
                <w:sz w:val="16"/>
                <w:szCs w:val="16"/>
              </w:rPr>
            </w:pPr>
            <w:r>
              <w:rPr>
                <w:sz w:val="16"/>
                <w:szCs w:val="16"/>
              </w:rPr>
              <w:t>3 years of transfer of original asset</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If new asset is transferred within 3 years of acquisition</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If new asset is transferred within 3 years of acquisition</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rPr>
                <w:sz w:val="16"/>
                <w:szCs w:val="16"/>
              </w:rPr>
            </w:pPr>
            <w:r>
              <w:rPr>
                <w:sz w:val="16"/>
                <w:szCs w:val="16"/>
              </w:rPr>
              <w:t>If equity shares in company or new asset acquired by company is sold or transferred within a period of 5 years from date of acquisition.</w:t>
            </w:r>
          </w:p>
        </w:tc>
      </w:tr>
      <w:tr w:rsidR="00DB632C" w:rsidTr="00DB632C">
        <w:tc>
          <w:tcPr>
            <w:tcW w:w="515"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b/>
                <w:bCs/>
                <w:sz w:val="16"/>
                <w:szCs w:val="16"/>
              </w:rPr>
              <w:lastRenderedPageBreak/>
              <w:t>Deposit in Capital gains deposit scheme before due date under Sec. 139(1)</w:t>
            </w:r>
          </w:p>
        </w:tc>
        <w:tc>
          <w:tcPr>
            <w:tcW w:w="41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Yes</w:t>
            </w:r>
          </w:p>
        </w:tc>
        <w:tc>
          <w:tcPr>
            <w:tcW w:w="43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Yes</w:t>
            </w:r>
          </w:p>
        </w:tc>
        <w:tc>
          <w:tcPr>
            <w:tcW w:w="482"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Yes</w:t>
            </w:r>
          </w:p>
        </w:tc>
        <w:tc>
          <w:tcPr>
            <w:tcW w:w="398"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No</w:t>
            </w:r>
          </w:p>
        </w:tc>
        <w:tc>
          <w:tcPr>
            <w:tcW w:w="478" w:type="pct"/>
            <w:tcBorders>
              <w:top w:val="single" w:sz="6" w:space="0" w:color="000000"/>
              <w:left w:val="single" w:sz="6" w:space="0" w:color="000000"/>
              <w:bottom w:val="single" w:sz="6" w:space="0" w:color="000000"/>
              <w:right w:val="single" w:sz="6" w:space="0" w:color="000000"/>
            </w:tcBorders>
            <w:hideMark/>
          </w:tcPr>
          <w:p w:rsidR="009D3A76" w:rsidRDefault="009D3A76">
            <w:pPr>
              <w:jc w:val="both"/>
              <w:rPr>
                <w:sz w:val="16"/>
                <w:szCs w:val="16"/>
              </w:rPr>
            </w:pPr>
            <w:r>
              <w:rPr>
                <w:sz w:val="16"/>
                <w:szCs w:val="16"/>
              </w:rPr>
              <w:t>No</w:t>
            </w:r>
          </w:p>
        </w:tc>
        <w:tc>
          <w:tcPr>
            <w:tcW w:w="680"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Yes</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Yes</w:t>
            </w:r>
          </w:p>
        </w:tc>
        <w:tc>
          <w:tcPr>
            <w:tcW w:w="423"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Yes</w:t>
            </w:r>
          </w:p>
        </w:tc>
        <w:tc>
          <w:tcPr>
            <w:tcW w:w="759" w:type="pct"/>
            <w:tcBorders>
              <w:top w:val="single" w:sz="6" w:space="0" w:color="000000"/>
              <w:left w:val="single" w:sz="6" w:space="0" w:color="000000"/>
              <w:bottom w:val="single" w:sz="6" w:space="0" w:color="000000"/>
              <w:right w:val="single" w:sz="6" w:space="0" w:color="000000"/>
            </w:tcBorders>
            <w:hideMark/>
          </w:tcPr>
          <w:p w:rsidR="009D3A76" w:rsidRDefault="009D3A76">
            <w:pPr>
              <w:pStyle w:val="tx"/>
              <w:spacing w:before="0" w:beforeAutospacing="0" w:after="80" w:afterAutospacing="0"/>
              <w:rPr>
                <w:sz w:val="16"/>
                <w:szCs w:val="16"/>
              </w:rPr>
            </w:pPr>
            <w:r>
              <w:rPr>
                <w:sz w:val="16"/>
                <w:szCs w:val="16"/>
              </w:rPr>
              <w:t>Yes</w:t>
            </w:r>
          </w:p>
        </w:tc>
      </w:tr>
    </w:tbl>
    <w:p w:rsidR="009D3A76" w:rsidRDefault="009D3A76" w:rsidP="009D3A76">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18434"/>
        <w:gridCol w:w="601"/>
      </w:tblGrid>
      <w:tr w:rsidR="009D3A76" w:rsidTr="009D3A76">
        <w:tc>
          <w:tcPr>
            <w:tcW w:w="0" w:type="auto"/>
            <w:hideMark/>
          </w:tcPr>
          <w:p w:rsidR="009D3A76" w:rsidRDefault="009D3A76">
            <w:pPr>
              <w:pStyle w:val="tx"/>
              <w:spacing w:before="0" w:beforeAutospacing="0" w:after="80" w:afterAutospacing="0"/>
              <w:jc w:val="both"/>
            </w:pPr>
            <w:hyperlink r:id="rId127" w:anchor="rfn17" w:history="1">
              <w:r>
                <w:rPr>
                  <w:rStyle w:val="Hyperlink"/>
                  <w:rFonts w:eastAsiaTheme="majorEastAsia"/>
                  <w:b/>
                  <w:bCs/>
                  <w:color w:val="663399"/>
                </w:rPr>
                <w:t>Capital Gain Account Scheme 1988</w:t>
              </w:r>
            </w:hyperlink>
            <w:r>
              <w:rPr>
                <w:b/>
                <w:bCs/>
              </w:rPr>
              <w:t>  </w:t>
            </w:r>
          </w:p>
        </w:tc>
        <w:tc>
          <w:tcPr>
            <w:tcW w:w="0" w:type="auto"/>
            <w:vAlign w:val="bottom"/>
            <w:hideMark/>
          </w:tcPr>
          <w:p w:rsidR="009D3A76" w:rsidRDefault="009D3A76">
            <w:pPr>
              <w:pStyle w:val="z-TopofForm"/>
            </w:pPr>
            <w:r>
              <w:t>Top of Form</w:t>
            </w:r>
          </w:p>
          <w:p w:rsidR="009D3A76" w:rsidRDefault="009D3A76">
            <w:pPr>
              <w:pStyle w:val="z-BottomofForm"/>
            </w:pPr>
            <w:r>
              <w:t>Bottom of Form</w:t>
            </w:r>
          </w:p>
          <w:p w:rsidR="009D3A76" w:rsidRDefault="009D3A76"/>
        </w:tc>
      </w:tr>
    </w:tbl>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a) The scheme is open to all taxpayers, who wish to claim exemption under Sections</w:t>
      </w:r>
      <w:r>
        <w:rPr>
          <w:rStyle w:val="apple-converted-space"/>
          <w:color w:val="444444"/>
        </w:rPr>
        <w:t> </w:t>
      </w:r>
      <w:hyperlink r:id="rId128" w:history="1">
        <w:r>
          <w:rPr>
            <w:rStyle w:val="Hyperlink"/>
            <w:rFonts w:eastAsiaTheme="majorEastAsia"/>
            <w:color w:val="663399"/>
          </w:rPr>
          <w:t>54</w:t>
        </w:r>
      </w:hyperlink>
      <w:r>
        <w:rPr>
          <w:color w:val="444444"/>
        </w:rPr>
        <w:t>,</w:t>
      </w:r>
      <w:r>
        <w:rPr>
          <w:rStyle w:val="apple-converted-space"/>
          <w:color w:val="444444"/>
        </w:rPr>
        <w:t> </w:t>
      </w:r>
      <w:hyperlink r:id="rId129" w:history="1">
        <w:r>
          <w:rPr>
            <w:rStyle w:val="Hyperlink"/>
            <w:rFonts w:eastAsiaTheme="majorEastAsia"/>
            <w:color w:val="663399"/>
          </w:rPr>
          <w:t>54B</w:t>
        </w:r>
      </w:hyperlink>
      <w:r>
        <w:rPr>
          <w:color w:val="444444"/>
        </w:rPr>
        <w:t>,</w:t>
      </w:r>
      <w:r>
        <w:rPr>
          <w:rStyle w:val="apple-converted-space"/>
          <w:color w:val="444444"/>
        </w:rPr>
        <w:t> </w:t>
      </w:r>
      <w:hyperlink r:id="rId130" w:history="1">
        <w:r>
          <w:rPr>
            <w:rStyle w:val="Hyperlink"/>
            <w:rFonts w:eastAsiaTheme="majorEastAsia"/>
            <w:color w:val="663399"/>
          </w:rPr>
          <w:t>54D</w:t>
        </w:r>
      </w:hyperlink>
      <w:r>
        <w:rPr>
          <w:color w:val="444444"/>
        </w:rPr>
        <w:t>,</w:t>
      </w:r>
      <w:r>
        <w:rPr>
          <w:rStyle w:val="apple-converted-space"/>
          <w:color w:val="444444"/>
        </w:rPr>
        <w:t> </w:t>
      </w:r>
      <w:hyperlink r:id="rId131" w:history="1">
        <w:r>
          <w:rPr>
            <w:rStyle w:val="Hyperlink"/>
            <w:rFonts w:eastAsiaTheme="majorEastAsia"/>
            <w:color w:val="663399"/>
          </w:rPr>
          <w:t>54F</w:t>
        </w:r>
      </w:hyperlink>
      <w:r>
        <w:rPr>
          <w:color w:val="444444"/>
        </w:rPr>
        <w:t>,</w:t>
      </w:r>
      <w:r>
        <w:rPr>
          <w:rStyle w:val="apple-converted-space"/>
          <w:color w:val="444444"/>
        </w:rPr>
        <w:t> </w:t>
      </w:r>
      <w:hyperlink r:id="rId132" w:history="1">
        <w:r>
          <w:rPr>
            <w:rStyle w:val="Hyperlink"/>
            <w:rFonts w:eastAsiaTheme="majorEastAsia"/>
            <w:color w:val="663399"/>
          </w:rPr>
          <w:t>54G</w:t>
        </w:r>
      </w:hyperlink>
      <w:r>
        <w:rPr>
          <w:rStyle w:val="apple-converted-space"/>
          <w:color w:val="444444"/>
        </w:rPr>
        <w:t> </w:t>
      </w:r>
      <w:r>
        <w:rPr>
          <w:color w:val="444444"/>
        </w:rPr>
        <w:t>or</w:t>
      </w:r>
      <w:r>
        <w:rPr>
          <w:rStyle w:val="apple-converted-space"/>
          <w:color w:val="444444"/>
        </w:rPr>
        <w:t> </w:t>
      </w:r>
      <w:hyperlink r:id="rId133" w:history="1">
        <w:r>
          <w:rPr>
            <w:rStyle w:val="Hyperlink"/>
            <w:rFonts w:eastAsiaTheme="majorEastAsia"/>
            <w:color w:val="663399"/>
          </w:rPr>
          <w:t>54GB</w:t>
        </w:r>
      </w:hyperlink>
      <w:r>
        <w:rPr>
          <w:color w:val="444444"/>
        </w:rPr>
        <w:t>.</w:t>
      </w:r>
    </w:p>
    <w:p w:rsidR="009D3A76" w:rsidRDefault="009D3A76" w:rsidP="009D3A76">
      <w:pPr>
        <w:pStyle w:val="indent1"/>
        <w:shd w:val="clear" w:color="auto" w:fill="FFFFFF"/>
        <w:spacing w:before="0" w:beforeAutospacing="0" w:after="80" w:afterAutospacing="0"/>
        <w:ind w:left="567" w:hanging="397"/>
        <w:jc w:val="both"/>
        <w:rPr>
          <w:color w:val="444444"/>
        </w:rPr>
      </w:pPr>
      <w:r>
        <w:rPr>
          <w:color w:val="444444"/>
        </w:rPr>
        <w:t>b) If taxpayer could not invest the capital gains to acquire new asset before due date of furnishing of return, the capital gains can be deposited before due date for furnishing of return of income in deposit account in any branch of a nationalized bank in accordance with Capital Gain Account Scheme 1988.</w:t>
      </w:r>
    </w:p>
    <w:p w:rsidR="009D3A76" w:rsidRDefault="009D3A76" w:rsidP="009D3A76">
      <w:pPr>
        <w:pStyle w:val="tx"/>
        <w:shd w:val="clear" w:color="auto" w:fill="FFFFFF"/>
        <w:spacing w:before="0" w:beforeAutospacing="0" w:after="80" w:afterAutospacing="0"/>
        <w:jc w:val="both"/>
        <w:rPr>
          <w:color w:val="444444"/>
        </w:rPr>
      </w:pPr>
      <w:r>
        <w:rPr>
          <w:color w:val="444444"/>
        </w:rPr>
        <w:t> </w:t>
      </w:r>
    </w:p>
    <w:p w:rsidR="009D3A76" w:rsidRDefault="009D3A76" w:rsidP="009D3A76">
      <w:pPr>
        <w:pStyle w:val="tx"/>
        <w:shd w:val="clear" w:color="auto" w:fill="FFFFFF"/>
        <w:spacing w:before="0" w:beforeAutospacing="0" w:after="80" w:afterAutospacing="0"/>
        <w:jc w:val="both"/>
        <w:rPr>
          <w:color w:val="444444"/>
        </w:rPr>
      </w:pPr>
      <w:r>
        <w:rPr>
          <w:color w:val="444444"/>
        </w:rPr>
        <w:t> </w:t>
      </w:r>
    </w:p>
    <w:p w:rsidR="009D3A76" w:rsidRDefault="009D3A76" w:rsidP="009D3A76">
      <w:pPr>
        <w:pStyle w:val="tx"/>
        <w:shd w:val="clear" w:color="auto" w:fill="FFFFFF"/>
        <w:spacing w:before="0" w:beforeAutospacing="0" w:after="80" w:afterAutospacing="0"/>
        <w:jc w:val="center"/>
        <w:rPr>
          <w:b/>
          <w:bCs/>
          <w:color w:val="808080"/>
        </w:rPr>
      </w:pPr>
      <w:r>
        <w:rPr>
          <w:b/>
          <w:bCs/>
          <w:color w:val="808080"/>
        </w:rPr>
        <w:t>[As amended by Finance Act, 2015]</w:t>
      </w:r>
    </w:p>
    <w:p w:rsidR="009D3A76" w:rsidRDefault="009D3A76" w:rsidP="00E26E1E">
      <w:pPr>
        <w:rPr>
          <w:rFonts w:cstheme="minorHAnsi"/>
          <w:color w:val="333333"/>
          <w:shd w:val="clear" w:color="auto" w:fill="FFFFFF"/>
        </w:rPr>
      </w:pPr>
    </w:p>
    <w:p w:rsidR="009D3A76" w:rsidRDefault="009D3A76" w:rsidP="00E26E1E">
      <w:pPr>
        <w:rPr>
          <w:rFonts w:cstheme="minorHAnsi"/>
          <w:color w:val="333333"/>
          <w:shd w:val="clear" w:color="auto" w:fill="FFFFFF"/>
        </w:rPr>
      </w:pPr>
    </w:p>
    <w:p w:rsidR="009D3A76" w:rsidRDefault="009D3A76" w:rsidP="00E26E1E">
      <w:pPr>
        <w:rPr>
          <w:rFonts w:cstheme="minorHAnsi"/>
          <w:color w:val="333333"/>
          <w:shd w:val="clear" w:color="auto" w:fill="FFFFFF"/>
        </w:rPr>
      </w:pPr>
    </w:p>
    <w:p w:rsidR="009D3A76" w:rsidRDefault="009D3A76" w:rsidP="00E26E1E">
      <w:pPr>
        <w:rPr>
          <w:rFonts w:cstheme="minorHAnsi"/>
          <w:color w:val="333333"/>
          <w:shd w:val="clear" w:color="auto" w:fill="FFFFFF"/>
        </w:rPr>
      </w:pPr>
    </w:p>
    <w:p w:rsidR="009D3A76" w:rsidRDefault="009D3A76" w:rsidP="00E26E1E">
      <w:pPr>
        <w:rPr>
          <w:rFonts w:cstheme="minorHAnsi"/>
          <w:color w:val="333333"/>
          <w:shd w:val="clear" w:color="auto" w:fill="FFFFFF"/>
        </w:rPr>
      </w:pPr>
    </w:p>
    <w:p w:rsidR="009D3A76" w:rsidRDefault="009D3A76" w:rsidP="00E26E1E">
      <w:pPr>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sectPr w:rsidR="007B564A" w:rsidSect="0026788D">
      <w:headerReference w:type="default" r:id="rId134"/>
      <w:footerReference w:type="default" r:id="rId1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D8B" w:rsidRDefault="00455D8B" w:rsidP="00FC7149">
      <w:pPr>
        <w:spacing w:after="0" w:line="240" w:lineRule="auto"/>
      </w:pPr>
      <w:r>
        <w:separator/>
      </w:r>
    </w:p>
  </w:endnote>
  <w:endnote w:type="continuationSeparator" w:id="0">
    <w:p w:rsidR="00455D8B" w:rsidRDefault="00455D8B"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D5C" w:rsidRPr="008E1D5A" w:rsidRDefault="00743D5C"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color w:val="5B9BD5" w:themeColor="accent1"/>
      </w:rPr>
      <w:tab/>
    </w:r>
    <w:r>
      <w:rPr>
        <w:color w:val="5B9BD5" w:themeColor="accent1"/>
      </w:rPr>
      <w:tab/>
    </w:r>
    <w:r>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743D5C" w:rsidRPr="00FC7149" w:rsidRDefault="00743D5C"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p</w:t>
    </w:r>
    <w:r>
      <w:rPr>
        <w:rFonts w:asciiTheme="majorHAnsi" w:eastAsiaTheme="majorEastAsia" w:hAnsiTheme="majorHAnsi" w:cstheme="majorBidi"/>
        <w:color w:val="5B9BD5" w:themeColor="accent1"/>
        <w:sz w:val="20"/>
        <w:szCs w:val="20"/>
      </w:rPr>
      <w:t xml:space="preserve">g. </w:t>
    </w:r>
    <w:r>
      <w:rPr>
        <w:color w:val="5B9BD5" w:themeColor="accent1"/>
        <w:sz w:val="20"/>
        <w:szCs w:val="20"/>
      </w:rPr>
      <w:fldChar w:fldCharType="begin"/>
    </w:r>
    <w:r>
      <w:rPr>
        <w:color w:val="5B9BD5" w:themeColor="accent1"/>
        <w:sz w:val="20"/>
        <w:szCs w:val="20"/>
      </w:rPr>
      <w:instrText xml:space="preserve"> PAGE    \* MERGEFORMAT </w:instrText>
    </w:r>
    <w:r>
      <w:rPr>
        <w:color w:val="5B9BD5" w:themeColor="accent1"/>
        <w:sz w:val="20"/>
        <w:szCs w:val="20"/>
      </w:rPr>
      <w:fldChar w:fldCharType="separate"/>
    </w:r>
    <w:r w:rsidR="004F55C8" w:rsidRPr="004F55C8">
      <w:rPr>
        <w:rFonts w:asciiTheme="majorHAnsi" w:eastAsiaTheme="majorEastAsia" w:hAnsiTheme="majorHAnsi" w:cstheme="majorBidi"/>
        <w:noProof/>
        <w:color w:val="5B9BD5" w:themeColor="accent1"/>
        <w:sz w:val="20"/>
        <w:szCs w:val="20"/>
      </w:rPr>
      <w:t>20</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p>
  <w:p w:rsidR="00743D5C" w:rsidRPr="008E1D5A" w:rsidRDefault="00743D5C"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D8B" w:rsidRDefault="00455D8B" w:rsidP="00FC7149">
      <w:pPr>
        <w:spacing w:after="0" w:line="240" w:lineRule="auto"/>
      </w:pPr>
      <w:r>
        <w:separator/>
      </w:r>
    </w:p>
  </w:footnote>
  <w:footnote w:type="continuationSeparator" w:id="0">
    <w:p w:rsidR="00455D8B" w:rsidRDefault="00455D8B"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D5C" w:rsidRDefault="00743D5C"/>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43D5C" w:rsidRPr="007F2F14" w:rsidTr="00DC6B12">
      <w:trPr>
        <w:trHeight w:val="262"/>
      </w:trPr>
      <w:tc>
        <w:tcPr>
          <w:tcW w:w="5116" w:type="dxa"/>
          <w:shd w:val="clear" w:color="auto" w:fill="auto"/>
          <w:noWrap/>
          <w:vAlign w:val="center"/>
          <w:hideMark/>
        </w:tcPr>
        <w:p w:rsidR="00743D5C" w:rsidRPr="008E1D5A" w:rsidRDefault="00743D5C"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743D5C" w:rsidRPr="008E1D5A" w:rsidRDefault="00743D5C"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743D5C" w:rsidRPr="008E1D5A" w:rsidRDefault="00743D5C" w:rsidP="008E1D5A">
          <w:pPr>
            <w:spacing w:after="0" w:line="240" w:lineRule="auto"/>
            <w:rPr>
              <w:rFonts w:ascii="Calibri" w:eastAsia="Times New Roman" w:hAnsi="Calibri" w:cs="Calibri"/>
              <w:color w:val="002060"/>
              <w:lang w:eastAsia="en-IN" w:bidi="hi-IN"/>
            </w:rPr>
          </w:pPr>
        </w:p>
      </w:tc>
    </w:tr>
    <w:tr w:rsidR="00743D5C" w:rsidRPr="007F2F14" w:rsidTr="00DC6B12">
      <w:trPr>
        <w:trHeight w:val="262"/>
      </w:trPr>
      <w:tc>
        <w:tcPr>
          <w:tcW w:w="5116" w:type="dxa"/>
          <w:shd w:val="clear" w:color="auto" w:fill="auto"/>
          <w:noWrap/>
          <w:vAlign w:val="center"/>
          <w:hideMark/>
        </w:tcPr>
        <w:p w:rsidR="00743D5C" w:rsidRPr="008E1D5A" w:rsidRDefault="00743D5C"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743D5C" w:rsidRPr="008E1D5A" w:rsidRDefault="00743D5C"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r>
    <w:tr w:rsidR="00743D5C" w:rsidRPr="007F2F14" w:rsidTr="00DC6B12">
      <w:trPr>
        <w:trHeight w:val="262"/>
      </w:trPr>
      <w:tc>
        <w:tcPr>
          <w:tcW w:w="5116" w:type="dxa"/>
          <w:shd w:val="clear" w:color="auto" w:fill="auto"/>
          <w:noWrap/>
          <w:vAlign w:val="center"/>
          <w:hideMark/>
        </w:tcPr>
        <w:p w:rsidR="00743D5C" w:rsidRPr="008E1D5A" w:rsidRDefault="00743D5C"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743D5C" w:rsidRPr="008E1D5A" w:rsidRDefault="00743D5C"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r>
    <w:tr w:rsidR="00743D5C" w:rsidRPr="007F2F14" w:rsidTr="00DF49F7">
      <w:trPr>
        <w:trHeight w:val="262"/>
      </w:trPr>
      <w:tc>
        <w:tcPr>
          <w:tcW w:w="5116" w:type="dxa"/>
          <w:shd w:val="clear" w:color="auto" w:fill="auto"/>
          <w:noWrap/>
          <w:vAlign w:val="center"/>
        </w:tcPr>
        <w:p w:rsidR="00743D5C" w:rsidRPr="008E1D5A" w:rsidRDefault="00743D5C"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743D5C" w:rsidRPr="008E1D5A" w:rsidRDefault="00743D5C"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r>
    <w:tr w:rsidR="00743D5C" w:rsidRPr="007F2F14" w:rsidTr="00DF49F7">
      <w:trPr>
        <w:trHeight w:val="262"/>
      </w:trPr>
      <w:tc>
        <w:tcPr>
          <w:tcW w:w="5116" w:type="dxa"/>
          <w:shd w:val="clear" w:color="auto" w:fill="auto"/>
          <w:noWrap/>
          <w:vAlign w:val="center"/>
        </w:tcPr>
        <w:p w:rsidR="00743D5C" w:rsidRPr="008E1D5A" w:rsidRDefault="00743D5C"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743D5C" w:rsidRPr="008E1D5A" w:rsidRDefault="00743D5C"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r>
    <w:tr w:rsidR="00743D5C" w:rsidRPr="007F2F14" w:rsidTr="00DF49F7">
      <w:trPr>
        <w:trHeight w:val="262"/>
      </w:trPr>
      <w:tc>
        <w:tcPr>
          <w:tcW w:w="5116" w:type="dxa"/>
          <w:shd w:val="clear" w:color="auto" w:fill="auto"/>
          <w:noWrap/>
          <w:vAlign w:val="center"/>
        </w:tcPr>
        <w:p w:rsidR="00743D5C" w:rsidRPr="008E1D5A" w:rsidRDefault="00743D5C"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743D5C" w:rsidRPr="008E1D5A" w:rsidRDefault="00743D5C"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r>
    <w:tr w:rsidR="00743D5C" w:rsidRPr="007F2F14" w:rsidTr="00DC6B12">
      <w:trPr>
        <w:trHeight w:val="81"/>
      </w:trPr>
      <w:tc>
        <w:tcPr>
          <w:tcW w:w="5116"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743D5C" w:rsidRPr="008E1D5A" w:rsidRDefault="00743D5C" w:rsidP="008E1D5A">
          <w:pPr>
            <w:spacing w:after="0" w:line="240" w:lineRule="auto"/>
            <w:rPr>
              <w:rFonts w:ascii="Times New Roman" w:eastAsia="Times New Roman" w:hAnsi="Times New Roman" w:cs="Times New Roman"/>
              <w:color w:val="002060"/>
              <w:sz w:val="20"/>
              <w:szCs w:val="20"/>
              <w:lang w:eastAsia="en-IN" w:bidi="hi-IN"/>
            </w:rPr>
          </w:pPr>
        </w:p>
      </w:tc>
    </w:tr>
  </w:tbl>
  <w:p w:rsidR="00743D5C" w:rsidRDefault="00743D5C" w:rsidP="00E55189">
    <w:pPr>
      <w:pStyle w:val="Header"/>
      <w:tabs>
        <w:tab w:val="clear" w:pos="4513"/>
        <w:tab w:val="clear" w:pos="9026"/>
        <w:tab w:val="left" w:pos="2625"/>
      </w:tabs>
    </w:pPr>
    <w:r>
      <w:tab/>
    </w:r>
  </w:p>
  <w:p w:rsidR="00743D5C" w:rsidRDefault="00743D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034D0"/>
    <w:multiLevelType w:val="hybridMultilevel"/>
    <w:tmpl w:val="12663150"/>
    <w:lvl w:ilvl="0" w:tplc="421A4302">
      <w:numFmt w:val="bullet"/>
      <w:lvlText w:val="•"/>
      <w:lvlJc w:val="left"/>
      <w:pPr>
        <w:ind w:left="1110" w:hanging="750"/>
      </w:pPr>
      <w:rPr>
        <w:rFonts w:ascii="Times New Roman" w:eastAsia="Times New Roman" w:hAnsi="Times New Roman" w:cs="Times New Roman" w:hint="default"/>
        <w:sz w:val="2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CC055D8"/>
    <w:multiLevelType w:val="hybridMultilevel"/>
    <w:tmpl w:val="F60490E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1C187B4C"/>
    <w:multiLevelType w:val="hybridMultilevel"/>
    <w:tmpl w:val="9F82D8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87055C"/>
    <w:multiLevelType w:val="hybridMultilevel"/>
    <w:tmpl w:val="715443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1E435CA"/>
    <w:multiLevelType w:val="multilevel"/>
    <w:tmpl w:val="A0CE8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EB6D39"/>
    <w:multiLevelType w:val="multilevel"/>
    <w:tmpl w:val="F998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2D29B7"/>
    <w:multiLevelType w:val="hybridMultilevel"/>
    <w:tmpl w:val="25A8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CD0F43"/>
    <w:multiLevelType w:val="hybridMultilevel"/>
    <w:tmpl w:val="7B40EC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B6A3B32"/>
    <w:multiLevelType w:val="hybridMultilevel"/>
    <w:tmpl w:val="4ACCC82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F9472A8"/>
    <w:multiLevelType w:val="multilevel"/>
    <w:tmpl w:val="ACF2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0B63CE"/>
    <w:multiLevelType w:val="hybridMultilevel"/>
    <w:tmpl w:val="13A290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B5C6A34"/>
    <w:multiLevelType w:val="multilevel"/>
    <w:tmpl w:val="5718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7C6A01"/>
    <w:multiLevelType w:val="hybridMultilevel"/>
    <w:tmpl w:val="DC7041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5"/>
  </w:num>
  <w:num w:numId="5">
    <w:abstractNumId w:val="4"/>
  </w:num>
  <w:num w:numId="6">
    <w:abstractNumId w:val="12"/>
  </w:num>
  <w:num w:numId="7">
    <w:abstractNumId w:val="9"/>
  </w:num>
  <w:num w:numId="8">
    <w:abstractNumId w:val="1"/>
  </w:num>
  <w:num w:numId="9">
    <w:abstractNumId w:val="10"/>
  </w:num>
  <w:num w:numId="10">
    <w:abstractNumId w:val="13"/>
  </w:num>
  <w:num w:numId="11">
    <w:abstractNumId w:val="0"/>
  </w:num>
  <w:num w:numId="12">
    <w:abstractNumId w:val="7"/>
  </w:num>
  <w:num w:numId="13">
    <w:abstractNumId w:val="2"/>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A7F32"/>
    <w:rsid w:val="000B647C"/>
    <w:rsid w:val="000C4734"/>
    <w:rsid w:val="000F4041"/>
    <w:rsid w:val="001025DF"/>
    <w:rsid w:val="00115B0F"/>
    <w:rsid w:val="001310EB"/>
    <w:rsid w:val="001323D0"/>
    <w:rsid w:val="001473F6"/>
    <w:rsid w:val="00154D0F"/>
    <w:rsid w:val="00185718"/>
    <w:rsid w:val="00193AA7"/>
    <w:rsid w:val="001D59BC"/>
    <w:rsid w:val="001F025E"/>
    <w:rsid w:val="002100B7"/>
    <w:rsid w:val="002201EE"/>
    <w:rsid w:val="00224487"/>
    <w:rsid w:val="002250EB"/>
    <w:rsid w:val="00234736"/>
    <w:rsid w:val="002370D8"/>
    <w:rsid w:val="00242F41"/>
    <w:rsid w:val="0026788D"/>
    <w:rsid w:val="00276331"/>
    <w:rsid w:val="002A38EE"/>
    <w:rsid w:val="002A4D70"/>
    <w:rsid w:val="002B5362"/>
    <w:rsid w:val="002B5B84"/>
    <w:rsid w:val="002C5492"/>
    <w:rsid w:val="002D6903"/>
    <w:rsid w:val="002E7DCB"/>
    <w:rsid w:val="002F3502"/>
    <w:rsid w:val="003160EB"/>
    <w:rsid w:val="00330ED7"/>
    <w:rsid w:val="0033593E"/>
    <w:rsid w:val="00345581"/>
    <w:rsid w:val="00386C6F"/>
    <w:rsid w:val="00397E19"/>
    <w:rsid w:val="003B1C5F"/>
    <w:rsid w:val="003E7246"/>
    <w:rsid w:val="004037BB"/>
    <w:rsid w:val="00455D8B"/>
    <w:rsid w:val="00456963"/>
    <w:rsid w:val="00470C09"/>
    <w:rsid w:val="00472DF2"/>
    <w:rsid w:val="004924D4"/>
    <w:rsid w:val="004949B9"/>
    <w:rsid w:val="00495941"/>
    <w:rsid w:val="004C462F"/>
    <w:rsid w:val="004D733A"/>
    <w:rsid w:val="004F55C8"/>
    <w:rsid w:val="00516F8B"/>
    <w:rsid w:val="00522E32"/>
    <w:rsid w:val="005274F5"/>
    <w:rsid w:val="00544C25"/>
    <w:rsid w:val="0057375F"/>
    <w:rsid w:val="00595CAE"/>
    <w:rsid w:val="005B257C"/>
    <w:rsid w:val="005B3992"/>
    <w:rsid w:val="0060616B"/>
    <w:rsid w:val="00640150"/>
    <w:rsid w:val="00660255"/>
    <w:rsid w:val="00663A1C"/>
    <w:rsid w:val="006B0472"/>
    <w:rsid w:val="006C27CA"/>
    <w:rsid w:val="006C6A21"/>
    <w:rsid w:val="006D0071"/>
    <w:rsid w:val="006D10B8"/>
    <w:rsid w:val="006D1BDB"/>
    <w:rsid w:val="00716A32"/>
    <w:rsid w:val="00726005"/>
    <w:rsid w:val="00740055"/>
    <w:rsid w:val="00743D5C"/>
    <w:rsid w:val="00751ECB"/>
    <w:rsid w:val="00764F03"/>
    <w:rsid w:val="00794C97"/>
    <w:rsid w:val="007B564A"/>
    <w:rsid w:val="007F2F14"/>
    <w:rsid w:val="007F56E0"/>
    <w:rsid w:val="00810BAC"/>
    <w:rsid w:val="0081587F"/>
    <w:rsid w:val="008252A2"/>
    <w:rsid w:val="00832356"/>
    <w:rsid w:val="0083409F"/>
    <w:rsid w:val="00854BE8"/>
    <w:rsid w:val="008610BC"/>
    <w:rsid w:val="00862D94"/>
    <w:rsid w:val="008752E2"/>
    <w:rsid w:val="0088209B"/>
    <w:rsid w:val="008B4161"/>
    <w:rsid w:val="008C5570"/>
    <w:rsid w:val="008D47A8"/>
    <w:rsid w:val="008D766C"/>
    <w:rsid w:val="008E1D5A"/>
    <w:rsid w:val="008E57D1"/>
    <w:rsid w:val="00912238"/>
    <w:rsid w:val="009171C0"/>
    <w:rsid w:val="0091739F"/>
    <w:rsid w:val="009250B4"/>
    <w:rsid w:val="00926625"/>
    <w:rsid w:val="00930DB5"/>
    <w:rsid w:val="00944AAD"/>
    <w:rsid w:val="009465A4"/>
    <w:rsid w:val="00947D80"/>
    <w:rsid w:val="00947EDE"/>
    <w:rsid w:val="00955E57"/>
    <w:rsid w:val="00964DFF"/>
    <w:rsid w:val="00966713"/>
    <w:rsid w:val="00994C3F"/>
    <w:rsid w:val="009B3C3F"/>
    <w:rsid w:val="009B7A3E"/>
    <w:rsid w:val="009C7B0F"/>
    <w:rsid w:val="009D0E91"/>
    <w:rsid w:val="009D3A76"/>
    <w:rsid w:val="009F6D2F"/>
    <w:rsid w:val="00A02FF5"/>
    <w:rsid w:val="00A038BC"/>
    <w:rsid w:val="00A30D69"/>
    <w:rsid w:val="00A317BC"/>
    <w:rsid w:val="00A750B1"/>
    <w:rsid w:val="00A81B38"/>
    <w:rsid w:val="00A84008"/>
    <w:rsid w:val="00A84FE2"/>
    <w:rsid w:val="00AB774F"/>
    <w:rsid w:val="00AD0E1D"/>
    <w:rsid w:val="00AD1F92"/>
    <w:rsid w:val="00AE30B6"/>
    <w:rsid w:val="00AF272C"/>
    <w:rsid w:val="00AF2943"/>
    <w:rsid w:val="00AF7F30"/>
    <w:rsid w:val="00B029D5"/>
    <w:rsid w:val="00B260B5"/>
    <w:rsid w:val="00B376B4"/>
    <w:rsid w:val="00B6521A"/>
    <w:rsid w:val="00B72CA4"/>
    <w:rsid w:val="00B93D20"/>
    <w:rsid w:val="00B93EF0"/>
    <w:rsid w:val="00BB1A02"/>
    <w:rsid w:val="00C12A6F"/>
    <w:rsid w:val="00C2173A"/>
    <w:rsid w:val="00C3411C"/>
    <w:rsid w:val="00C604FA"/>
    <w:rsid w:val="00C73D0C"/>
    <w:rsid w:val="00C73F6F"/>
    <w:rsid w:val="00C74007"/>
    <w:rsid w:val="00C76F4C"/>
    <w:rsid w:val="00C921DD"/>
    <w:rsid w:val="00CB6279"/>
    <w:rsid w:val="00CC1A4E"/>
    <w:rsid w:val="00CC52FA"/>
    <w:rsid w:val="00CE217B"/>
    <w:rsid w:val="00CF0722"/>
    <w:rsid w:val="00D224FD"/>
    <w:rsid w:val="00D231F5"/>
    <w:rsid w:val="00D46BAC"/>
    <w:rsid w:val="00D51BFE"/>
    <w:rsid w:val="00D872FF"/>
    <w:rsid w:val="00DB632C"/>
    <w:rsid w:val="00DB6ACA"/>
    <w:rsid w:val="00DC47E1"/>
    <w:rsid w:val="00DC6B12"/>
    <w:rsid w:val="00DD5046"/>
    <w:rsid w:val="00DD5772"/>
    <w:rsid w:val="00DE4A54"/>
    <w:rsid w:val="00DF2180"/>
    <w:rsid w:val="00DF49F7"/>
    <w:rsid w:val="00E100FB"/>
    <w:rsid w:val="00E13A5E"/>
    <w:rsid w:val="00E26E1E"/>
    <w:rsid w:val="00E36BC3"/>
    <w:rsid w:val="00E423E1"/>
    <w:rsid w:val="00E55189"/>
    <w:rsid w:val="00E77D99"/>
    <w:rsid w:val="00EA67B1"/>
    <w:rsid w:val="00EE70F9"/>
    <w:rsid w:val="00F00128"/>
    <w:rsid w:val="00F22E0D"/>
    <w:rsid w:val="00F40B84"/>
    <w:rsid w:val="00F4143D"/>
    <w:rsid w:val="00F7371B"/>
    <w:rsid w:val="00F97E1D"/>
    <w:rsid w:val="00FA21A3"/>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F32"/>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 w:type="paragraph" w:customStyle="1" w:styleId="contentmainhead">
    <w:name w:val="content_main_head"/>
    <w:basedOn w:val="Normal"/>
    <w:rsid w:val="009D3A76"/>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z-TopofForm">
    <w:name w:val="HTML Top of Form"/>
    <w:basedOn w:val="Normal"/>
    <w:next w:val="Normal"/>
    <w:link w:val="z-TopofFormChar"/>
    <w:hidden/>
    <w:uiPriority w:val="99"/>
    <w:semiHidden/>
    <w:unhideWhenUsed/>
    <w:rsid w:val="009D3A76"/>
    <w:pPr>
      <w:pBdr>
        <w:bottom w:val="single" w:sz="6" w:space="1" w:color="auto"/>
      </w:pBdr>
      <w:spacing w:after="0" w:line="240" w:lineRule="auto"/>
      <w:jc w:val="center"/>
    </w:pPr>
    <w:rPr>
      <w:rFonts w:ascii="Arial" w:eastAsia="Times New Roman" w:hAnsi="Arial" w:cs="Mangal"/>
      <w:vanish/>
      <w:sz w:val="16"/>
      <w:szCs w:val="14"/>
      <w:lang w:eastAsia="en-IN" w:bidi="hi-IN"/>
    </w:rPr>
  </w:style>
  <w:style w:type="character" w:customStyle="1" w:styleId="z-TopofFormChar">
    <w:name w:val="z-Top of Form Char"/>
    <w:basedOn w:val="DefaultParagraphFont"/>
    <w:link w:val="z-TopofForm"/>
    <w:uiPriority w:val="99"/>
    <w:semiHidden/>
    <w:rsid w:val="009D3A76"/>
    <w:rPr>
      <w:rFonts w:ascii="Arial" w:eastAsia="Times New Roman" w:hAnsi="Arial" w:cs="Mangal"/>
      <w:vanish/>
      <w:sz w:val="16"/>
      <w:szCs w:val="14"/>
      <w:lang w:eastAsia="en-IN" w:bidi="hi-IN"/>
    </w:rPr>
  </w:style>
  <w:style w:type="paragraph" w:styleId="z-BottomofForm">
    <w:name w:val="HTML Bottom of Form"/>
    <w:basedOn w:val="Normal"/>
    <w:next w:val="Normal"/>
    <w:link w:val="z-BottomofFormChar"/>
    <w:hidden/>
    <w:uiPriority w:val="99"/>
    <w:semiHidden/>
    <w:unhideWhenUsed/>
    <w:rsid w:val="009D3A76"/>
    <w:pPr>
      <w:pBdr>
        <w:top w:val="single" w:sz="6" w:space="1" w:color="auto"/>
      </w:pBdr>
      <w:spacing w:after="0" w:line="240" w:lineRule="auto"/>
      <w:jc w:val="center"/>
    </w:pPr>
    <w:rPr>
      <w:rFonts w:ascii="Arial" w:eastAsia="Times New Roman" w:hAnsi="Arial" w:cs="Mangal"/>
      <w:vanish/>
      <w:sz w:val="16"/>
      <w:szCs w:val="14"/>
      <w:lang w:eastAsia="en-IN" w:bidi="hi-IN"/>
    </w:rPr>
  </w:style>
  <w:style w:type="character" w:customStyle="1" w:styleId="z-BottomofFormChar">
    <w:name w:val="z-Bottom of Form Char"/>
    <w:basedOn w:val="DefaultParagraphFont"/>
    <w:link w:val="z-BottomofForm"/>
    <w:uiPriority w:val="99"/>
    <w:semiHidden/>
    <w:rsid w:val="009D3A76"/>
    <w:rPr>
      <w:rFonts w:ascii="Arial" w:eastAsia="Times New Roman" w:hAnsi="Arial" w:cs="Mangal"/>
      <w:vanish/>
      <w:sz w:val="16"/>
      <w:szCs w:val="1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6895">
      <w:bodyDiv w:val="1"/>
      <w:marLeft w:val="0"/>
      <w:marRight w:val="0"/>
      <w:marTop w:val="0"/>
      <w:marBottom w:val="0"/>
      <w:divBdr>
        <w:top w:val="none" w:sz="0" w:space="0" w:color="auto"/>
        <w:left w:val="none" w:sz="0" w:space="0" w:color="auto"/>
        <w:bottom w:val="none" w:sz="0" w:space="0" w:color="auto"/>
        <w:right w:val="none" w:sz="0" w:space="0" w:color="auto"/>
      </w:divBdr>
      <w:divsChild>
        <w:div w:id="1737586626">
          <w:marLeft w:val="0"/>
          <w:marRight w:val="0"/>
          <w:marTop w:val="0"/>
          <w:marBottom w:val="0"/>
          <w:divBdr>
            <w:top w:val="none" w:sz="0" w:space="0" w:color="auto"/>
            <w:left w:val="none" w:sz="0" w:space="0" w:color="auto"/>
            <w:bottom w:val="none" w:sz="0" w:space="0" w:color="auto"/>
            <w:right w:val="none" w:sz="0" w:space="0" w:color="auto"/>
          </w:divBdr>
          <w:divsChild>
            <w:div w:id="119687269">
              <w:marLeft w:val="0"/>
              <w:marRight w:val="0"/>
              <w:marTop w:val="0"/>
              <w:marBottom w:val="0"/>
              <w:divBdr>
                <w:top w:val="none" w:sz="0" w:space="0" w:color="auto"/>
                <w:left w:val="none" w:sz="0" w:space="0" w:color="auto"/>
                <w:bottom w:val="none" w:sz="0" w:space="0" w:color="auto"/>
                <w:right w:val="none" w:sz="0" w:space="0" w:color="auto"/>
              </w:divBdr>
              <w:divsChild>
                <w:div w:id="258564116">
                  <w:marLeft w:val="0"/>
                  <w:marRight w:val="0"/>
                  <w:marTop w:val="0"/>
                  <w:marBottom w:val="0"/>
                  <w:divBdr>
                    <w:top w:val="none" w:sz="0" w:space="0" w:color="auto"/>
                    <w:left w:val="none" w:sz="0" w:space="0" w:color="auto"/>
                    <w:bottom w:val="none" w:sz="0" w:space="0" w:color="auto"/>
                    <w:right w:val="none" w:sz="0" w:space="0" w:color="auto"/>
                  </w:divBdr>
                  <w:divsChild>
                    <w:div w:id="161200718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02924277">
          <w:marLeft w:val="0"/>
          <w:marRight w:val="0"/>
          <w:marTop w:val="525"/>
          <w:marBottom w:val="0"/>
          <w:divBdr>
            <w:top w:val="none" w:sz="0" w:space="0" w:color="auto"/>
            <w:left w:val="none" w:sz="0" w:space="0" w:color="auto"/>
            <w:bottom w:val="none" w:sz="0" w:space="0" w:color="auto"/>
            <w:right w:val="none" w:sz="0" w:space="0" w:color="auto"/>
          </w:divBdr>
          <w:divsChild>
            <w:div w:id="443160414">
              <w:marLeft w:val="0"/>
              <w:marRight w:val="0"/>
              <w:marTop w:val="0"/>
              <w:marBottom w:val="0"/>
              <w:divBdr>
                <w:top w:val="none" w:sz="0" w:space="0" w:color="auto"/>
                <w:left w:val="none" w:sz="0" w:space="0" w:color="auto"/>
                <w:bottom w:val="none" w:sz="0" w:space="0" w:color="auto"/>
                <w:right w:val="none" w:sz="0" w:space="0" w:color="auto"/>
              </w:divBdr>
              <w:divsChild>
                <w:div w:id="7092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276188">
      <w:bodyDiv w:val="1"/>
      <w:marLeft w:val="0"/>
      <w:marRight w:val="0"/>
      <w:marTop w:val="0"/>
      <w:marBottom w:val="0"/>
      <w:divBdr>
        <w:top w:val="none" w:sz="0" w:space="0" w:color="auto"/>
        <w:left w:val="none" w:sz="0" w:space="0" w:color="auto"/>
        <w:bottom w:val="none" w:sz="0" w:space="0" w:color="auto"/>
        <w:right w:val="none" w:sz="0" w:space="0" w:color="auto"/>
      </w:divBdr>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773477872">
      <w:bodyDiv w:val="1"/>
      <w:marLeft w:val="0"/>
      <w:marRight w:val="0"/>
      <w:marTop w:val="0"/>
      <w:marBottom w:val="0"/>
      <w:divBdr>
        <w:top w:val="none" w:sz="0" w:space="0" w:color="auto"/>
        <w:left w:val="none" w:sz="0" w:space="0" w:color="auto"/>
        <w:bottom w:val="none" w:sz="0" w:space="0" w:color="auto"/>
        <w:right w:val="none" w:sz="0" w:space="0" w:color="auto"/>
      </w:divBdr>
      <w:divsChild>
        <w:div w:id="34820816">
          <w:marLeft w:val="0"/>
          <w:marRight w:val="0"/>
          <w:marTop w:val="0"/>
          <w:marBottom w:val="0"/>
          <w:divBdr>
            <w:top w:val="none" w:sz="0" w:space="0" w:color="auto"/>
            <w:left w:val="none" w:sz="0" w:space="0" w:color="auto"/>
            <w:bottom w:val="none" w:sz="0" w:space="0" w:color="auto"/>
            <w:right w:val="none" w:sz="0" w:space="0" w:color="auto"/>
          </w:divBdr>
          <w:divsChild>
            <w:div w:id="773942246">
              <w:marLeft w:val="0"/>
              <w:marRight w:val="0"/>
              <w:marTop w:val="0"/>
              <w:marBottom w:val="0"/>
              <w:divBdr>
                <w:top w:val="none" w:sz="0" w:space="0" w:color="auto"/>
                <w:left w:val="none" w:sz="0" w:space="0" w:color="auto"/>
                <w:bottom w:val="none" w:sz="0" w:space="0" w:color="auto"/>
                <w:right w:val="none" w:sz="0" w:space="0" w:color="auto"/>
              </w:divBdr>
              <w:divsChild>
                <w:div w:id="1622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0229">
          <w:marLeft w:val="0"/>
          <w:marRight w:val="0"/>
          <w:marTop w:val="525"/>
          <w:marBottom w:val="0"/>
          <w:divBdr>
            <w:top w:val="none" w:sz="0" w:space="0" w:color="auto"/>
            <w:left w:val="none" w:sz="0" w:space="0" w:color="auto"/>
            <w:bottom w:val="none" w:sz="0" w:space="0" w:color="auto"/>
            <w:right w:val="none" w:sz="0" w:space="0" w:color="auto"/>
          </w:divBdr>
          <w:divsChild>
            <w:div w:id="1245258716">
              <w:marLeft w:val="0"/>
              <w:marRight w:val="0"/>
              <w:marTop w:val="0"/>
              <w:marBottom w:val="0"/>
              <w:divBdr>
                <w:top w:val="none" w:sz="0" w:space="0" w:color="auto"/>
                <w:left w:val="none" w:sz="0" w:space="0" w:color="auto"/>
                <w:bottom w:val="none" w:sz="0" w:space="0" w:color="auto"/>
                <w:right w:val="none" w:sz="0" w:space="0" w:color="auto"/>
              </w:divBdr>
              <w:divsChild>
                <w:div w:id="864438152">
                  <w:marLeft w:val="0"/>
                  <w:marRight w:val="0"/>
                  <w:marTop w:val="0"/>
                  <w:marBottom w:val="0"/>
                  <w:divBdr>
                    <w:top w:val="none" w:sz="0" w:space="0" w:color="auto"/>
                    <w:left w:val="none" w:sz="0" w:space="0" w:color="auto"/>
                    <w:bottom w:val="none" w:sz="0" w:space="0" w:color="auto"/>
                    <w:right w:val="none" w:sz="0" w:space="0" w:color="auto"/>
                  </w:divBdr>
                  <w:divsChild>
                    <w:div w:id="86725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999058">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868208">
      <w:bodyDiv w:val="1"/>
      <w:marLeft w:val="0"/>
      <w:marRight w:val="0"/>
      <w:marTop w:val="0"/>
      <w:marBottom w:val="0"/>
      <w:divBdr>
        <w:top w:val="none" w:sz="0" w:space="0" w:color="auto"/>
        <w:left w:val="none" w:sz="0" w:space="0" w:color="auto"/>
        <w:bottom w:val="none" w:sz="0" w:space="0" w:color="auto"/>
        <w:right w:val="none" w:sz="0" w:space="0" w:color="auto"/>
      </w:divBdr>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44139">
      <w:bodyDiv w:val="1"/>
      <w:marLeft w:val="0"/>
      <w:marRight w:val="0"/>
      <w:marTop w:val="0"/>
      <w:marBottom w:val="0"/>
      <w:divBdr>
        <w:top w:val="none" w:sz="0" w:space="0" w:color="auto"/>
        <w:left w:val="none" w:sz="0" w:space="0" w:color="auto"/>
        <w:bottom w:val="none" w:sz="0" w:space="0" w:color="auto"/>
        <w:right w:val="none" w:sz="0" w:space="0" w:color="auto"/>
      </w:divBdr>
    </w:div>
    <w:div w:id="1612468392">
      <w:bodyDiv w:val="1"/>
      <w:marLeft w:val="0"/>
      <w:marRight w:val="0"/>
      <w:marTop w:val="0"/>
      <w:marBottom w:val="0"/>
      <w:divBdr>
        <w:top w:val="none" w:sz="0" w:space="0" w:color="auto"/>
        <w:left w:val="none" w:sz="0" w:space="0" w:color="auto"/>
        <w:bottom w:val="none" w:sz="0" w:space="0" w:color="auto"/>
        <w:right w:val="none" w:sz="0" w:space="0" w:color="auto"/>
      </w:divBdr>
      <w:divsChild>
        <w:div w:id="2016608666">
          <w:marLeft w:val="0"/>
          <w:marRight w:val="0"/>
          <w:marTop w:val="0"/>
          <w:marBottom w:val="0"/>
          <w:divBdr>
            <w:top w:val="none" w:sz="0" w:space="0" w:color="auto"/>
            <w:left w:val="none" w:sz="0" w:space="0" w:color="auto"/>
            <w:bottom w:val="none" w:sz="0" w:space="0" w:color="auto"/>
            <w:right w:val="none" w:sz="0" w:space="0" w:color="auto"/>
          </w:divBdr>
          <w:divsChild>
            <w:div w:id="830172664">
              <w:marLeft w:val="0"/>
              <w:marRight w:val="0"/>
              <w:marTop w:val="0"/>
              <w:marBottom w:val="0"/>
              <w:divBdr>
                <w:top w:val="none" w:sz="0" w:space="0" w:color="auto"/>
                <w:left w:val="none" w:sz="0" w:space="0" w:color="auto"/>
                <w:bottom w:val="none" w:sz="0" w:space="0" w:color="auto"/>
                <w:right w:val="none" w:sz="0" w:space="0" w:color="auto"/>
              </w:divBdr>
              <w:divsChild>
                <w:div w:id="307831571">
                  <w:marLeft w:val="0"/>
                  <w:marRight w:val="0"/>
                  <w:marTop w:val="0"/>
                  <w:marBottom w:val="0"/>
                  <w:divBdr>
                    <w:top w:val="none" w:sz="0" w:space="0" w:color="auto"/>
                    <w:left w:val="none" w:sz="0" w:space="0" w:color="auto"/>
                    <w:bottom w:val="none" w:sz="0" w:space="0" w:color="auto"/>
                    <w:right w:val="none" w:sz="0" w:space="0" w:color="auto"/>
                  </w:divBdr>
                  <w:divsChild>
                    <w:div w:id="24296027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64732103">
          <w:marLeft w:val="0"/>
          <w:marRight w:val="0"/>
          <w:marTop w:val="525"/>
          <w:marBottom w:val="0"/>
          <w:divBdr>
            <w:top w:val="none" w:sz="0" w:space="0" w:color="auto"/>
            <w:left w:val="none" w:sz="0" w:space="0" w:color="auto"/>
            <w:bottom w:val="none" w:sz="0" w:space="0" w:color="auto"/>
            <w:right w:val="none" w:sz="0" w:space="0" w:color="auto"/>
          </w:divBdr>
          <w:divsChild>
            <w:div w:id="1910576697">
              <w:marLeft w:val="0"/>
              <w:marRight w:val="0"/>
              <w:marTop w:val="0"/>
              <w:marBottom w:val="0"/>
              <w:divBdr>
                <w:top w:val="none" w:sz="0" w:space="0" w:color="auto"/>
                <w:left w:val="none" w:sz="0" w:space="0" w:color="auto"/>
                <w:bottom w:val="none" w:sz="0" w:space="0" w:color="auto"/>
                <w:right w:val="none" w:sz="0" w:space="0" w:color="auto"/>
              </w:divBdr>
              <w:divsChild>
                <w:div w:id="19199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918166">
      <w:bodyDiv w:val="1"/>
      <w:marLeft w:val="0"/>
      <w:marRight w:val="0"/>
      <w:marTop w:val="0"/>
      <w:marBottom w:val="0"/>
      <w:divBdr>
        <w:top w:val="none" w:sz="0" w:space="0" w:color="auto"/>
        <w:left w:val="none" w:sz="0" w:space="0" w:color="auto"/>
        <w:bottom w:val="none" w:sz="0" w:space="0" w:color="auto"/>
        <w:right w:val="none" w:sz="0" w:space="0" w:color="auto"/>
      </w:divBdr>
      <w:divsChild>
        <w:div w:id="1906790703">
          <w:marLeft w:val="0"/>
          <w:marRight w:val="0"/>
          <w:marTop w:val="0"/>
          <w:marBottom w:val="0"/>
          <w:divBdr>
            <w:top w:val="none" w:sz="0" w:space="0" w:color="auto"/>
            <w:left w:val="none" w:sz="0" w:space="0" w:color="auto"/>
            <w:bottom w:val="none" w:sz="0" w:space="0" w:color="auto"/>
            <w:right w:val="none" w:sz="0" w:space="0" w:color="auto"/>
          </w:divBdr>
          <w:divsChild>
            <w:div w:id="60907229">
              <w:marLeft w:val="0"/>
              <w:marRight w:val="0"/>
              <w:marTop w:val="0"/>
              <w:marBottom w:val="0"/>
              <w:divBdr>
                <w:top w:val="none" w:sz="0" w:space="0" w:color="auto"/>
                <w:left w:val="none" w:sz="0" w:space="0" w:color="auto"/>
                <w:bottom w:val="none" w:sz="0" w:space="0" w:color="auto"/>
                <w:right w:val="none" w:sz="0" w:space="0" w:color="auto"/>
              </w:divBdr>
              <w:divsChild>
                <w:div w:id="731276619">
                  <w:marLeft w:val="0"/>
                  <w:marRight w:val="0"/>
                  <w:marTop w:val="0"/>
                  <w:marBottom w:val="0"/>
                  <w:divBdr>
                    <w:top w:val="none" w:sz="0" w:space="0" w:color="auto"/>
                    <w:left w:val="none" w:sz="0" w:space="0" w:color="auto"/>
                    <w:bottom w:val="none" w:sz="0" w:space="0" w:color="auto"/>
                    <w:right w:val="none" w:sz="0" w:space="0" w:color="auto"/>
                  </w:divBdr>
                  <w:divsChild>
                    <w:div w:id="48208768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16109622">
          <w:marLeft w:val="0"/>
          <w:marRight w:val="0"/>
          <w:marTop w:val="525"/>
          <w:marBottom w:val="0"/>
          <w:divBdr>
            <w:top w:val="none" w:sz="0" w:space="0" w:color="auto"/>
            <w:left w:val="none" w:sz="0" w:space="0" w:color="auto"/>
            <w:bottom w:val="none" w:sz="0" w:space="0" w:color="auto"/>
            <w:right w:val="none" w:sz="0" w:space="0" w:color="auto"/>
          </w:divBdr>
          <w:divsChild>
            <w:div w:id="284165049">
              <w:marLeft w:val="0"/>
              <w:marRight w:val="0"/>
              <w:marTop w:val="0"/>
              <w:marBottom w:val="0"/>
              <w:divBdr>
                <w:top w:val="none" w:sz="0" w:space="0" w:color="auto"/>
                <w:left w:val="none" w:sz="0" w:space="0" w:color="auto"/>
                <w:bottom w:val="none" w:sz="0" w:space="0" w:color="auto"/>
                <w:right w:val="none" w:sz="0" w:space="0" w:color="auto"/>
              </w:divBdr>
              <w:divsChild>
                <w:div w:id="72001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03708313">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ncometaxindia.gov.in/_layouts/15/dit/Pages/viewer.aspx?path=/Documents/Left%20Menu/IND-Income-from-capital-gains.htm&amp;IsDlg=1" TargetMode="External"/><Relationship Id="rId117" Type="http://schemas.openxmlformats.org/officeDocument/2006/relationships/hyperlink" Target="http://www.incometaxindia.gov.in/_layouts/15/dit/Pages/viewer.aspx?path=/Documents/Left%20Menu/IND-Income-from-capital-gains.htm&amp;IsDlg=1" TargetMode="External"/><Relationship Id="rId21" Type="http://schemas.openxmlformats.org/officeDocument/2006/relationships/hyperlink" Target="http://www.incometaxindia.gov.in/_layouts/15/dit/Pages/viewer.aspx?path=/Documents/Left%20Menu/IND-Income-from-capital-gains.htm&amp;IsDlg=1" TargetMode="External"/><Relationship Id="rId42" Type="http://schemas.openxmlformats.org/officeDocument/2006/relationships/hyperlink" Target="javascript:ShowMainContent('Act',%20'CMSID',%20'102120000000058260',%20'');" TargetMode="External"/><Relationship Id="rId47" Type="http://schemas.openxmlformats.org/officeDocument/2006/relationships/hyperlink" Target="javascript:ShowMainContent('Act',%20'CMSID',%20'102120000000058112',%20'');" TargetMode="External"/><Relationship Id="rId63" Type="http://schemas.openxmlformats.org/officeDocument/2006/relationships/hyperlink" Target="javascript:ShowMainContent('Act',%20'CMSID',%20'102120000000058114',%20'');" TargetMode="External"/><Relationship Id="rId68" Type="http://schemas.openxmlformats.org/officeDocument/2006/relationships/hyperlink" Target="javascript:ShowMainContent('Act',%20'CMSID',%20'102120000000058116',%20'');" TargetMode="External"/><Relationship Id="rId84" Type="http://schemas.openxmlformats.org/officeDocument/2006/relationships/hyperlink" Target="javascript:ShowMainContent('Act',%20'CMSID',%20'102120000000058116',%20'');" TargetMode="External"/><Relationship Id="rId89" Type="http://schemas.openxmlformats.org/officeDocument/2006/relationships/hyperlink" Target="javascript:ShowMainContent('Act',%20'CMSID',%20'102120000000058111',%20'');" TargetMode="External"/><Relationship Id="rId112" Type="http://schemas.openxmlformats.org/officeDocument/2006/relationships/hyperlink" Target="javascript:ShowMainContent('Act',%20'CMSID',%20'102120000000058117',%20'');" TargetMode="External"/><Relationship Id="rId133" Type="http://schemas.openxmlformats.org/officeDocument/2006/relationships/hyperlink" Target="javascript:ShowMainContent('Act',%20'CMSID',%20'102120000000058135',%20'');" TargetMode="External"/><Relationship Id="rId16" Type="http://schemas.openxmlformats.org/officeDocument/2006/relationships/hyperlink" Target="http://www.incometaxindia.gov.in/_layouts/15/dit/Pages/viewer.aspx?path=/Documents/Left%20Menu/IND-Income-from-capital-gains.htm&amp;IsDlg=1" TargetMode="External"/><Relationship Id="rId107" Type="http://schemas.openxmlformats.org/officeDocument/2006/relationships/hyperlink" Target="javascript:ShowMainContent('Act',%20'CMSID',%20'102120000000058117',%20'');" TargetMode="External"/><Relationship Id="rId11" Type="http://schemas.openxmlformats.org/officeDocument/2006/relationships/hyperlink" Target="javascript:ShowMainContent('Act',%20'CMSID',%20'102120000000058121',%20'');" TargetMode="External"/><Relationship Id="rId32" Type="http://schemas.openxmlformats.org/officeDocument/2006/relationships/hyperlink" Target="http://www.incometaxindia.gov.in/_layouts/15/dit/Pages/viewer.aspx?path=/Documents/Left%20Menu/IND-Income-from-capital-gains.htm&amp;IsDlg=1" TargetMode="External"/><Relationship Id="rId37" Type="http://schemas.openxmlformats.org/officeDocument/2006/relationships/hyperlink" Target="http://www.incometaxindia.gov.in/_layouts/15/dit/Pages/viewer.aspx?path=/Documents/Left%20Menu/IND-Income-from-capital-gains.htm&amp;IsDlg=1" TargetMode="External"/><Relationship Id="rId53" Type="http://schemas.openxmlformats.org/officeDocument/2006/relationships/hyperlink" Target="javascript:ShowMainContent('Act',%20'CMSID',%20'102120000000058114',%20'');" TargetMode="External"/><Relationship Id="rId58" Type="http://schemas.openxmlformats.org/officeDocument/2006/relationships/hyperlink" Target="javascript:ShowMainContent('Act',%20'CMSID',%20'102120000000058114',%20'');" TargetMode="External"/><Relationship Id="rId74" Type="http://schemas.openxmlformats.org/officeDocument/2006/relationships/hyperlink" Target="javascript:ShowMainContent('Act',%20'CMSID',%20'102120000000058116',%20'');" TargetMode="External"/><Relationship Id="rId79" Type="http://schemas.openxmlformats.org/officeDocument/2006/relationships/hyperlink" Target="javascript:ShowMainContent('Act',%20'CMSID',%20'102120000000058259',%20'');" TargetMode="External"/><Relationship Id="rId102" Type="http://schemas.openxmlformats.org/officeDocument/2006/relationships/hyperlink" Target="javascript:ShowMainContent('Act',%20'CMSID',%20'102120000000058126',%20'');" TargetMode="External"/><Relationship Id="rId123" Type="http://schemas.openxmlformats.org/officeDocument/2006/relationships/hyperlink" Target="javascript:ShowMainContent('Act',%20'CMSID',%20'102120000000058132',%20'');" TargetMode="External"/><Relationship Id="rId128" Type="http://schemas.openxmlformats.org/officeDocument/2006/relationships/hyperlink" Target="javascript:ShowMainContent('Act',%20'CMSID',%20'102120000000058124',%20'');" TargetMode="External"/><Relationship Id="rId5" Type="http://schemas.openxmlformats.org/officeDocument/2006/relationships/webSettings" Target="webSettings.xml"/><Relationship Id="rId90" Type="http://schemas.openxmlformats.org/officeDocument/2006/relationships/hyperlink" Target="javascript:ShowMainContent('Act',%20'CMSID',%20'102120000000058112',%20'');" TargetMode="External"/><Relationship Id="rId95" Type="http://schemas.openxmlformats.org/officeDocument/2006/relationships/hyperlink" Target="http://www.incometaxindia.gov.in/_layouts/15/dit/Pages/viewer.aspx?path=/Documents/Left%20Menu/IND-Income-from-capital-gains.htm&amp;IsDlg=1" TargetMode="External"/><Relationship Id="rId14" Type="http://schemas.openxmlformats.org/officeDocument/2006/relationships/hyperlink" Target="http://www.incometaxindia.gov.in/_layouts/15/dit/Pages/viewer.aspx?path=/Documents/Left%20Menu/IND-Income-from-capital-gains.htm&amp;IsDlg=1" TargetMode="External"/><Relationship Id="rId22" Type="http://schemas.openxmlformats.org/officeDocument/2006/relationships/hyperlink" Target="http://www.incometaxindia.gov.in/_layouts/15/dit/Pages/viewer.aspx?path=/Documents/Left%20Menu/IND-Income-from-capital-gains.htm&amp;IsDlg=1" TargetMode="External"/><Relationship Id="rId27" Type="http://schemas.openxmlformats.org/officeDocument/2006/relationships/hyperlink" Target="http://www.incometaxindia.gov.in/_layouts/15/dit/Pages/viewer.aspx?path=/Documents/Left%20Menu/IND-Income-from-capital-gains.htm&amp;IsDlg=1" TargetMode="External"/><Relationship Id="rId30" Type="http://schemas.openxmlformats.org/officeDocument/2006/relationships/hyperlink" Target="http://www.incometaxindia.gov.in/_layouts/15/dit/Pages/viewer.aspx?path=/Documents/Left%20Menu/IND-Income-from-capital-gains.htm&amp;IsDlg=1" TargetMode="External"/><Relationship Id="rId35" Type="http://schemas.openxmlformats.org/officeDocument/2006/relationships/hyperlink" Target="http://www.incometaxindia.gov.in/_layouts/15/dit/Pages/viewer.aspx?path=/Documents/Left%20Menu/IND-Income-from-capital-gains.htm&amp;IsDlg=1" TargetMode="External"/><Relationship Id="rId43" Type="http://schemas.openxmlformats.org/officeDocument/2006/relationships/hyperlink" Target="http://www.incometaxindia.gov.in/_layouts/15/dit/Pages/viewer.aspx?path=/Documents/Left%20Menu/IND-Income-from-capital-gains.htm&amp;IsDlg=1" TargetMode="External"/><Relationship Id="rId48" Type="http://schemas.openxmlformats.org/officeDocument/2006/relationships/hyperlink" Target="javascript:ShowMainContent('Act',%20'CMSID',%20'102120000000058114',%20'');" TargetMode="External"/><Relationship Id="rId56" Type="http://schemas.openxmlformats.org/officeDocument/2006/relationships/hyperlink" Target="javascript:ShowMainContent('Act',%20'CMSID',%20'102120000000058114',%20'');" TargetMode="External"/><Relationship Id="rId64" Type="http://schemas.openxmlformats.org/officeDocument/2006/relationships/hyperlink" Target="javascript:ShowMainContent('Act',%20'CMSID',%20'102120000000058114',%20'');" TargetMode="External"/><Relationship Id="rId69" Type="http://schemas.openxmlformats.org/officeDocument/2006/relationships/hyperlink" Target="javascript:ShowMainContent('Act',%20'CMSID',%20'102120000000058116',%20'');" TargetMode="External"/><Relationship Id="rId77" Type="http://schemas.openxmlformats.org/officeDocument/2006/relationships/hyperlink" Target="javascript:ShowMainContent('Act',%20'CMSID',%20'102120000000058120',%20'');" TargetMode="External"/><Relationship Id="rId100" Type="http://schemas.openxmlformats.org/officeDocument/2006/relationships/hyperlink" Target="javascript:ShowMainContent('Act',%20'CMSID',%20'102120000000058124',%20'');" TargetMode="External"/><Relationship Id="rId105" Type="http://schemas.openxmlformats.org/officeDocument/2006/relationships/hyperlink" Target="javascript:ShowMainContent('Act',%20'CMSID',%20'102120000000058117',%20'');" TargetMode="External"/><Relationship Id="rId113" Type="http://schemas.openxmlformats.org/officeDocument/2006/relationships/hyperlink" Target="javascript:ShowMainContent('Act',%20'CMSID',%20'102120000000058117',%20'');" TargetMode="External"/><Relationship Id="rId118" Type="http://schemas.openxmlformats.org/officeDocument/2006/relationships/hyperlink" Target="javascript:ShowMainContent('Act',%20'CMSID',%20'102120000000058124',%20'');" TargetMode="External"/><Relationship Id="rId126" Type="http://schemas.openxmlformats.org/officeDocument/2006/relationships/hyperlink" Target="javascript:ShowMainContent('Act',%20'CMSID',%20'102120000000058135',%20'');" TargetMode="External"/><Relationship Id="rId134" Type="http://schemas.openxmlformats.org/officeDocument/2006/relationships/header" Target="header1.xml"/><Relationship Id="rId8" Type="http://schemas.openxmlformats.org/officeDocument/2006/relationships/hyperlink" Target="javascript:ShowMainContent('Act',%20'CMSID',%20'102120000000058116',%20'');" TargetMode="External"/><Relationship Id="rId51" Type="http://schemas.openxmlformats.org/officeDocument/2006/relationships/hyperlink" Target="javascript:ShowMainContent('Act',%20'CMSID',%20'102120000000058114',%20'');" TargetMode="External"/><Relationship Id="rId72" Type="http://schemas.openxmlformats.org/officeDocument/2006/relationships/hyperlink" Target="javascript:ShowMainContent('Act',%20'CMSID',%20'102120000000058116',%20'');" TargetMode="External"/><Relationship Id="rId80" Type="http://schemas.openxmlformats.org/officeDocument/2006/relationships/hyperlink" Target="javascript:ShowMainContent('Act',%20'CMSID',%20'102120000000058260',%20'');" TargetMode="External"/><Relationship Id="rId85" Type="http://schemas.openxmlformats.org/officeDocument/2006/relationships/hyperlink" Target="http://www.incometaxindia.gov.in/_layouts/15/dit/Pages/viewer.aspx?path=/Documents/Left%20Menu/IND-Income-from-capital-gains.htm&amp;IsDlg=1" TargetMode="External"/><Relationship Id="rId93" Type="http://schemas.openxmlformats.org/officeDocument/2006/relationships/hyperlink" Target="javascript:ShowMainContent('Act',%20'CMSID',%20'102120000000058121',%20'');" TargetMode="External"/><Relationship Id="rId98" Type="http://schemas.openxmlformats.org/officeDocument/2006/relationships/hyperlink" Target="javascript:ShowMainContent('Act',%20'CMSID',%20'102120000000058118',%20'');" TargetMode="External"/><Relationship Id="rId121" Type="http://schemas.openxmlformats.org/officeDocument/2006/relationships/hyperlink" Target="javascript:ShowMainContent('Act',%20'CMSID',%20'102120000000058130',%20'');" TargetMode="External"/><Relationship Id="rId3" Type="http://schemas.openxmlformats.org/officeDocument/2006/relationships/styles" Target="styles.xml"/><Relationship Id="rId12" Type="http://schemas.openxmlformats.org/officeDocument/2006/relationships/hyperlink" Target="http://www.incometaxindia.gov.in/_layouts/15/dit/Pages/viewer.aspx?path=/Documents/Left%20Menu/IND-Income-from-capital-gains.htm&amp;IsDlg=1" TargetMode="External"/><Relationship Id="rId17" Type="http://schemas.openxmlformats.org/officeDocument/2006/relationships/hyperlink" Target="http://www.incometaxindia.gov.in/_layouts/15/dit/Pages/viewer.aspx?path=/Documents/Left%20Menu/IND-Income-from-capital-gains.htm&amp;IsDlg=1" TargetMode="External"/><Relationship Id="rId25" Type="http://schemas.openxmlformats.org/officeDocument/2006/relationships/hyperlink" Target="http://www.incometaxindia.gov.in/_layouts/15/dit/Pages/viewer.aspx?path=/Documents/Left%20Menu/IND-Income-from-capital-gains.htm&amp;IsDlg=1" TargetMode="External"/><Relationship Id="rId33" Type="http://schemas.openxmlformats.org/officeDocument/2006/relationships/hyperlink" Target="javascript:ShowMainContent('Act',%20'CMSID',%20'102120000000058016',%20'');" TargetMode="External"/><Relationship Id="rId38" Type="http://schemas.openxmlformats.org/officeDocument/2006/relationships/hyperlink" Target="javascript:ShowMainContent('Act',%20'CMSID',%20'102120000000058117',%20'');" TargetMode="External"/><Relationship Id="rId46" Type="http://schemas.openxmlformats.org/officeDocument/2006/relationships/hyperlink" Target="javascript:ShowMainContent('Act',%20'CMSID',%20'102120000000058114',%20'');" TargetMode="External"/><Relationship Id="rId59" Type="http://schemas.openxmlformats.org/officeDocument/2006/relationships/hyperlink" Target="javascript:ShowMainContent('Act',%20'CMSID',%20'102120000000058260',%20'');" TargetMode="External"/><Relationship Id="rId67" Type="http://schemas.openxmlformats.org/officeDocument/2006/relationships/hyperlink" Target="http://www.incometaxindia.gov.in/_layouts/15/dit/Pages/viewer.aspx?path=/Documents/Left%20Menu/IND-Income-from-capital-gains.htm&amp;IsDlg=1" TargetMode="External"/><Relationship Id="rId103" Type="http://schemas.openxmlformats.org/officeDocument/2006/relationships/hyperlink" Target="javascript:ShowMainContent('Act',%20'CMSID',%20'102120000000058133',%20'');" TargetMode="External"/><Relationship Id="rId108" Type="http://schemas.openxmlformats.org/officeDocument/2006/relationships/hyperlink" Target="http://www.incometaxindia.gov.in/_layouts/15/dit/Pages/viewer.aspx?path=/Documents/Left%20Menu/IND-Income-from-capital-gains.htm&amp;IsDlg=1" TargetMode="External"/><Relationship Id="rId116" Type="http://schemas.openxmlformats.org/officeDocument/2006/relationships/hyperlink" Target="javascript:ShowMainContent('Act',%20'CMSID',%20'102120000000058138',%20'');" TargetMode="External"/><Relationship Id="rId124" Type="http://schemas.openxmlformats.org/officeDocument/2006/relationships/hyperlink" Target="javascript:ShowMainContent('Act',%20'CMSID',%20'102120000000058133',%20'');" TargetMode="External"/><Relationship Id="rId129" Type="http://schemas.openxmlformats.org/officeDocument/2006/relationships/hyperlink" Target="javascript:ShowMainContent('Act',%20'CMSID',%20'102120000000058125',%20'');" TargetMode="External"/><Relationship Id="rId137" Type="http://schemas.openxmlformats.org/officeDocument/2006/relationships/theme" Target="theme/theme1.xml"/><Relationship Id="rId20" Type="http://schemas.openxmlformats.org/officeDocument/2006/relationships/hyperlink" Target="http://www.incometaxindia.gov.in/_layouts/15/dit/Pages/viewer.aspx?path=/Documents/Left%20Menu/IND-Income-from-capital-gains.htm&amp;IsDlg=1" TargetMode="External"/><Relationship Id="rId41" Type="http://schemas.openxmlformats.org/officeDocument/2006/relationships/hyperlink" Target="javascript:ShowMainContent('Act',%20'CMSID',%20'102120000000058114',%20'');" TargetMode="External"/><Relationship Id="rId54" Type="http://schemas.openxmlformats.org/officeDocument/2006/relationships/hyperlink" Target="javascript:ShowMainContent('Act',%20'CMSID',%20'102120000000058114',%20'');" TargetMode="External"/><Relationship Id="rId62" Type="http://schemas.openxmlformats.org/officeDocument/2006/relationships/hyperlink" Target="javascript:ShowMainContent('Act',%20'CMSID',%20'102120000000058114',%20'');" TargetMode="External"/><Relationship Id="rId70" Type="http://schemas.openxmlformats.org/officeDocument/2006/relationships/hyperlink" Target="javascript:ShowMainContent('Act',%20'CMSID',%20'102120000000058118',%20'');" TargetMode="External"/><Relationship Id="rId75" Type="http://schemas.openxmlformats.org/officeDocument/2006/relationships/hyperlink" Target="javascript:ShowMainContent('Act',%20'CMSID',%20'102120000000058119',%20'');" TargetMode="External"/><Relationship Id="rId83" Type="http://schemas.openxmlformats.org/officeDocument/2006/relationships/hyperlink" Target="javascript:ShowMainContent('Act',%20'CMSID',%20'102120000000058261',%20'');" TargetMode="External"/><Relationship Id="rId88" Type="http://schemas.openxmlformats.org/officeDocument/2006/relationships/hyperlink" Target="javascript:ShowMainContent('Act',%20'CMSID',%20'102120000000058111',%20'');" TargetMode="External"/><Relationship Id="rId91" Type="http://schemas.openxmlformats.org/officeDocument/2006/relationships/hyperlink" Target="javascript:ShowMainContent('Act',%20'CMSID',%20'102120000000058016',%20'');" TargetMode="External"/><Relationship Id="rId96" Type="http://schemas.openxmlformats.org/officeDocument/2006/relationships/hyperlink" Target="javascript:ShowMainContent('Act',%20'CMSID',%20'102120000000058139',%20'');" TargetMode="External"/><Relationship Id="rId111" Type="http://schemas.openxmlformats.org/officeDocument/2006/relationships/hyperlink" Target="javascript:ShowMainContent('Act',%20'CMSID',%20'102120000000058137',%20'');" TargetMode="External"/><Relationship Id="rId132" Type="http://schemas.openxmlformats.org/officeDocument/2006/relationships/hyperlink" Target="javascript:ShowMainContent('Act',%20'CMSID',%20'102120000000058133',%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cometaxindia.gov.in/_layouts/15/dit/Pages/viewer.aspx?path=/Documents/Left%20Menu/IND-Income-from-capital-gains.htm&amp;IsDlg=1" TargetMode="External"/><Relationship Id="rId23" Type="http://schemas.openxmlformats.org/officeDocument/2006/relationships/hyperlink" Target="http://www.incometaxindia.gov.in/_layouts/15/dit/Pages/viewer.aspx?path=/Documents/Left%20Menu/IND-Income-from-capital-gains.htm&amp;IsDlg=1" TargetMode="External"/><Relationship Id="rId28" Type="http://schemas.openxmlformats.org/officeDocument/2006/relationships/hyperlink" Target="http://www.incometaxindia.gov.in/_layouts/15/dit/Pages/viewer.aspx?path=/Documents/Left%20Menu/IND-Income-from-capital-gains.htm&amp;IsDlg=1" TargetMode="External"/><Relationship Id="rId36" Type="http://schemas.openxmlformats.org/officeDocument/2006/relationships/hyperlink" Target="http://www.incometaxindia.gov.in/_layouts/15/dit/Pages/viewer.aspx?path=/Documents/Left%20Menu/IND-Income-from-capital-gains.htm&amp;IsDlg=1" TargetMode="External"/><Relationship Id="rId49" Type="http://schemas.openxmlformats.org/officeDocument/2006/relationships/hyperlink" Target="javascript:ShowMainContent('Act',%20'CMSID',%20'102120000000058114',%20'');" TargetMode="External"/><Relationship Id="rId57" Type="http://schemas.openxmlformats.org/officeDocument/2006/relationships/hyperlink" Target="javascript:ShowMainContent('Act',%20'CMSID',%20'102120000000058114',%20'');" TargetMode="External"/><Relationship Id="rId106" Type="http://schemas.openxmlformats.org/officeDocument/2006/relationships/hyperlink" Target="javascript:ShowMainContent('Act',%20'CMSID',%20'102120000000058117',%20'');" TargetMode="External"/><Relationship Id="rId114" Type="http://schemas.openxmlformats.org/officeDocument/2006/relationships/hyperlink" Target="http://www.incometaxindia.gov.in/_layouts/15/dit/Pages/viewer.aspx?path=/Documents/Left%20Menu/IND-Income-from-capital-gains.htm&amp;IsDlg=1" TargetMode="External"/><Relationship Id="rId119" Type="http://schemas.openxmlformats.org/officeDocument/2006/relationships/hyperlink" Target="javascript:ShowMainContent('Act',%20'CMSID',%20'102120000000058125',%20'');" TargetMode="External"/><Relationship Id="rId127" Type="http://schemas.openxmlformats.org/officeDocument/2006/relationships/hyperlink" Target="http://www.incometaxindia.gov.in/_layouts/15/dit/Pages/viewer.aspx?path=/Documents/Left%20Menu/IND-Income-from-capital-gains.htm&amp;IsDlg=1" TargetMode="External"/><Relationship Id="rId10" Type="http://schemas.openxmlformats.org/officeDocument/2006/relationships/hyperlink" Target="javascript:ShowMainContent('Act',%20'CMSID',%20'102120000000058118',%20'');" TargetMode="External"/><Relationship Id="rId31" Type="http://schemas.openxmlformats.org/officeDocument/2006/relationships/hyperlink" Target="http://www.incometaxindia.gov.in/_layouts/15/dit/Pages/viewer.aspx?path=/Documents/Left%20Menu/IND-Income-from-capital-gains.htm&amp;IsDlg=1" TargetMode="External"/><Relationship Id="rId44" Type="http://schemas.openxmlformats.org/officeDocument/2006/relationships/hyperlink" Target="javascript:ShowMainContent('Act',%20'CMSID',%20'102120000000058016',%20'');" TargetMode="External"/><Relationship Id="rId52" Type="http://schemas.openxmlformats.org/officeDocument/2006/relationships/hyperlink" Target="javascript:ShowMainContent('Act',%20'CMSID',%20'102120000000058114',%20'');" TargetMode="External"/><Relationship Id="rId60" Type="http://schemas.openxmlformats.org/officeDocument/2006/relationships/hyperlink" Target="javascript:ShowMainContent('Act',%20'CMSID',%20'102120000000058114',%20'');" TargetMode="External"/><Relationship Id="rId65" Type="http://schemas.openxmlformats.org/officeDocument/2006/relationships/hyperlink" Target="javascript:ShowMainContent('Act',%20'CMSID',%20'102120000000058114',%20'');" TargetMode="External"/><Relationship Id="rId73" Type="http://schemas.openxmlformats.org/officeDocument/2006/relationships/hyperlink" Target="javascript:ShowMainContent('Act',%20'CMSID',%20'102120000000041671',%20'');" TargetMode="External"/><Relationship Id="rId78" Type="http://schemas.openxmlformats.org/officeDocument/2006/relationships/hyperlink" Target="javascript:ShowMainContent('Act',%20'CMSID',%20'102120000000058259',%20'');" TargetMode="External"/><Relationship Id="rId81" Type="http://schemas.openxmlformats.org/officeDocument/2006/relationships/hyperlink" Target="javascript:ShowMainContent('Act',%20'CMSID',%20'102120000000058260',%20'');" TargetMode="External"/><Relationship Id="rId86" Type="http://schemas.openxmlformats.org/officeDocument/2006/relationships/hyperlink" Target="javascript:ShowMainContent('Act',%20'CMSID',%20'102120000000058111',%20'');" TargetMode="External"/><Relationship Id="rId94" Type="http://schemas.openxmlformats.org/officeDocument/2006/relationships/hyperlink" Target="javascript:ShowMainContent('Act',%20'CMSID',%20'102120000000058122',%20'');" TargetMode="External"/><Relationship Id="rId99" Type="http://schemas.openxmlformats.org/officeDocument/2006/relationships/hyperlink" Target="javascript:ShowMainContent('Act',%20'CMSID',%20'102120000000058119',%20'');" TargetMode="External"/><Relationship Id="rId101" Type="http://schemas.openxmlformats.org/officeDocument/2006/relationships/hyperlink" Target="javascript:ShowMainContent('Act',%20'CMSID',%20'102120000000058125',%20'');" TargetMode="External"/><Relationship Id="rId122" Type="http://schemas.openxmlformats.org/officeDocument/2006/relationships/hyperlink" Target="javascript:ShowMainContent('Act',%20'CMSID',%20'102120000000058821',%20'');" TargetMode="External"/><Relationship Id="rId130" Type="http://schemas.openxmlformats.org/officeDocument/2006/relationships/hyperlink" Target="javascript:ShowMainContent('Act',%20'CMSID',%20'102120000000058126',%20'');" TargetMode="External"/><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ShowMainContent('Act',%20'CMSID',%20'102120000000058116',%20'');" TargetMode="External"/><Relationship Id="rId13" Type="http://schemas.openxmlformats.org/officeDocument/2006/relationships/hyperlink" Target="javascript:ShowMainContent('Act',%20'CMSID',%20'102120000000058124',%20'');" TargetMode="External"/><Relationship Id="rId18" Type="http://schemas.openxmlformats.org/officeDocument/2006/relationships/hyperlink" Target="http://www.incometaxindia.gov.in/_layouts/15/dit/Pages/viewer.aspx?path=/Documents/Left%20Menu/IND-Income-from-capital-gains.htm&amp;IsDlg=1" TargetMode="External"/><Relationship Id="rId39" Type="http://schemas.openxmlformats.org/officeDocument/2006/relationships/hyperlink" Target="javascript:ShowMainContent('Act',%20'CMSID',%20'102120000000058114',%20'');" TargetMode="External"/><Relationship Id="rId109" Type="http://schemas.openxmlformats.org/officeDocument/2006/relationships/hyperlink" Target="javascript:ShowMainContent('Act',%20'CMSID',%20'102120000000058117',%20'');" TargetMode="External"/><Relationship Id="rId34" Type="http://schemas.openxmlformats.org/officeDocument/2006/relationships/hyperlink" Target="http://www.incometaxindia.gov.in/_layouts/15/dit/Pages/viewer.aspx?path=/Documents/Left%20Menu/IND-Income-from-capital-gains.htm&amp;IsDlg=1" TargetMode="External"/><Relationship Id="rId50" Type="http://schemas.openxmlformats.org/officeDocument/2006/relationships/hyperlink" Target="javascript:ShowMainContent('Act',%20'CMSID',%20'102120000000058114',%20'');" TargetMode="External"/><Relationship Id="rId55" Type="http://schemas.openxmlformats.org/officeDocument/2006/relationships/hyperlink" Target="javascript:ShowMainContent('Act',%20'CMSID',%20'102120000000058114',%20'');" TargetMode="External"/><Relationship Id="rId76" Type="http://schemas.openxmlformats.org/officeDocument/2006/relationships/hyperlink" Target="javascript:ShowMainContent('Act',%20'CMSID',%20'102120000000058120',%20'');" TargetMode="External"/><Relationship Id="rId97" Type="http://schemas.openxmlformats.org/officeDocument/2006/relationships/hyperlink" Target="javascript:ShowMainContent('Act',%20'CMSID',%20'102120000000058139',%20'');" TargetMode="External"/><Relationship Id="rId104" Type="http://schemas.openxmlformats.org/officeDocument/2006/relationships/hyperlink" Target="javascript:ShowMainContent('Act',%20'CMSID',%20'102120000000058134',%20'');" TargetMode="External"/><Relationship Id="rId120" Type="http://schemas.openxmlformats.org/officeDocument/2006/relationships/hyperlink" Target="javascript:ShowMainContent('Act',%20'CMSID',%20'102120000000058126',%20'');" TargetMode="External"/><Relationship Id="rId125" Type="http://schemas.openxmlformats.org/officeDocument/2006/relationships/hyperlink" Target="javascript:ShowMainContent('Act',%20'CMSID',%20'102120000000058134',%20'');" TargetMode="External"/><Relationship Id="rId7" Type="http://schemas.openxmlformats.org/officeDocument/2006/relationships/endnotes" Target="endnotes.xml"/><Relationship Id="rId71" Type="http://schemas.openxmlformats.org/officeDocument/2006/relationships/hyperlink" Target="javascript:ShowMainContent('Act',%20'CMSID',%20'102120000000058116',%20'');" TargetMode="External"/><Relationship Id="rId92" Type="http://schemas.openxmlformats.org/officeDocument/2006/relationships/hyperlink" Target="javascript:ShowMainContent('Act',%20'CMSID',%20'102120000000058116',%20'');" TargetMode="External"/><Relationship Id="rId2" Type="http://schemas.openxmlformats.org/officeDocument/2006/relationships/numbering" Target="numbering.xml"/><Relationship Id="rId29" Type="http://schemas.openxmlformats.org/officeDocument/2006/relationships/hyperlink" Target="http://www.incometaxindia.gov.in/_layouts/15/dit/Pages/viewer.aspx?path=/Documents/Left%20Menu/IND-Income-from-capital-gains.htm&amp;IsDlg=1" TargetMode="External"/><Relationship Id="rId24" Type="http://schemas.openxmlformats.org/officeDocument/2006/relationships/hyperlink" Target="http://www.incometaxindia.gov.in/_layouts/15/dit/Pages/viewer.aspx?path=/Documents/Left%20Menu/IND-Income-from-capital-gains.htm&amp;IsDlg=1" TargetMode="External"/><Relationship Id="rId40" Type="http://schemas.openxmlformats.org/officeDocument/2006/relationships/hyperlink" Target="javascript:ShowMainContent('Act',%20'CMSID',%20'102120000000058114',%20'');" TargetMode="External"/><Relationship Id="rId45" Type="http://schemas.openxmlformats.org/officeDocument/2006/relationships/hyperlink" Target="http://www.incometaxindia.gov.in/_layouts/15/dit/Pages/viewer.aspx?path=/Documents/Left%20Menu/IND-Income-from-capital-gains.htm&amp;IsDlg=1" TargetMode="External"/><Relationship Id="rId66" Type="http://schemas.openxmlformats.org/officeDocument/2006/relationships/hyperlink" Target="javascript:ShowMainContent('Act',%20'CMSID',%20'102120000000058114',%20'');" TargetMode="External"/><Relationship Id="rId87" Type="http://schemas.openxmlformats.org/officeDocument/2006/relationships/hyperlink" Target="javascript:ShowMainContent('Act',%20'CMSID',%20'102120000000058111',%20'');" TargetMode="External"/><Relationship Id="rId110" Type="http://schemas.openxmlformats.org/officeDocument/2006/relationships/hyperlink" Target="http://www.incometaxindia.gov.in/_layouts/15/dit/Pages/viewer.aspx?path=/Documents/Left%20Menu/IND-Income-from-capital-gains.htm&amp;IsDlg=1" TargetMode="External"/><Relationship Id="rId115" Type="http://schemas.openxmlformats.org/officeDocument/2006/relationships/hyperlink" Target="http://www.incometaxindia.gov.in/_layouts/15/dit/Pages/viewer.aspx?path=/Documents/Left%20Menu/IND-Income-from-capital-gains.htm&amp;IsDlg=1" TargetMode="External"/><Relationship Id="rId131" Type="http://schemas.openxmlformats.org/officeDocument/2006/relationships/hyperlink" Target="javascript:ShowMainContent('Act',%20'CMSID',%20'102120000000058132',%20'');" TargetMode="External"/><Relationship Id="rId136" Type="http://schemas.openxmlformats.org/officeDocument/2006/relationships/fontTable" Target="fontTable.xml"/><Relationship Id="rId61" Type="http://schemas.openxmlformats.org/officeDocument/2006/relationships/hyperlink" Target="javascript:ShowMainContent('Act',%20'CMSID',%20'102120000000058114',%20'');" TargetMode="External"/><Relationship Id="rId82" Type="http://schemas.openxmlformats.org/officeDocument/2006/relationships/hyperlink" Target="javascript:ShowMainContent('Act',%20'CMSID',%20'102120000000058261',%20'');" TargetMode="External"/><Relationship Id="rId19" Type="http://schemas.openxmlformats.org/officeDocument/2006/relationships/hyperlink" Target="http://www.incometaxindia.gov.in/_layouts/15/dit/Pages/viewer.aspx?path=/Documents/Left%20Menu/IND-Income-from-capital-gains.htm&amp;IsDlg=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161F5-E4A6-43F5-8F99-47102751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8108</Words>
  <Characters>46222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13</cp:revision>
  <dcterms:created xsi:type="dcterms:W3CDTF">2017-03-07T15:36:00Z</dcterms:created>
  <dcterms:modified xsi:type="dcterms:W3CDTF">2017-03-07T16:24:00Z</dcterms:modified>
</cp:coreProperties>
</file>